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6B8EF" w14:textId="202C1E80" w:rsidR="00E86E36" w:rsidRDefault="00E86E36" w:rsidP="00DC6CE5">
      <w:pPr>
        <w:spacing w:after="0" w:line="240" w:lineRule="auto"/>
        <w:ind w:left="1"/>
        <w:contextualSpacing/>
        <w:jc w:val="center"/>
        <w:rPr>
          <w:rFonts w:ascii="Times New Roman" w:hAnsi="Times New Roman" w:cs="Times New Roman"/>
          <w:b/>
          <w:sz w:val="20"/>
          <w:szCs w:val="20"/>
        </w:rPr>
      </w:pPr>
      <w:r w:rsidRPr="009B7265">
        <w:rPr>
          <w:rFonts w:ascii="Times New Roman" w:hAnsi="Times New Roman" w:cs="Times New Roman"/>
          <w:b/>
          <w:sz w:val="20"/>
          <w:szCs w:val="20"/>
        </w:rPr>
        <w:t xml:space="preserve">Instrucțiuni </w:t>
      </w:r>
      <w:r w:rsidR="00F31F29" w:rsidRPr="009B7265">
        <w:rPr>
          <w:rFonts w:ascii="Times New Roman" w:hAnsi="Times New Roman" w:cs="Times New Roman"/>
          <w:b/>
          <w:sz w:val="20"/>
          <w:szCs w:val="20"/>
        </w:rPr>
        <w:t xml:space="preserve">către </w:t>
      </w:r>
      <w:r w:rsidRPr="009B7265">
        <w:rPr>
          <w:rFonts w:ascii="Times New Roman" w:hAnsi="Times New Roman" w:cs="Times New Roman"/>
          <w:b/>
          <w:sz w:val="20"/>
          <w:szCs w:val="20"/>
        </w:rPr>
        <w:t xml:space="preserve">candidați/ofertanți </w:t>
      </w:r>
    </w:p>
    <w:p w14:paraId="6EA85F64" w14:textId="151CD1B6" w:rsidR="005229D8" w:rsidRPr="009B7265" w:rsidRDefault="005229D8" w:rsidP="00DC6CE5">
      <w:pPr>
        <w:spacing w:after="0" w:line="240" w:lineRule="auto"/>
        <w:ind w:left="1"/>
        <w:contextualSpacing/>
        <w:jc w:val="center"/>
        <w:rPr>
          <w:rFonts w:ascii="Times New Roman" w:hAnsi="Times New Roman" w:cs="Times New Roman"/>
          <w:b/>
          <w:sz w:val="20"/>
          <w:szCs w:val="20"/>
        </w:rPr>
      </w:pPr>
      <w:r>
        <w:rPr>
          <w:rFonts w:ascii="Times New Roman" w:hAnsi="Times New Roman" w:cs="Times New Roman"/>
          <w:b/>
          <w:sz w:val="20"/>
          <w:szCs w:val="20"/>
        </w:rPr>
        <w:t>Garanții si criteriu de atribuire</w:t>
      </w:r>
    </w:p>
    <w:p w14:paraId="64023E1C" w14:textId="77DF0F51" w:rsidR="00F76F9F" w:rsidRPr="009D568A" w:rsidRDefault="00CA240E" w:rsidP="00DC6CE5">
      <w:pPr>
        <w:spacing w:after="0" w:line="240" w:lineRule="auto"/>
        <w:contextualSpacing/>
        <w:jc w:val="center"/>
        <w:rPr>
          <w:rFonts w:ascii="Times New Roman" w:eastAsia="Calibri" w:hAnsi="Times New Roman" w:cs="Times New Roman"/>
          <w:noProof/>
          <w:sz w:val="24"/>
          <w:szCs w:val="24"/>
        </w:rPr>
      </w:pPr>
      <w:r w:rsidRPr="009D568A">
        <w:rPr>
          <w:rFonts w:ascii="Times New Roman" w:eastAsia="Calibri" w:hAnsi="Times New Roman" w:cs="Times New Roman"/>
          <w:noProof/>
          <w:sz w:val="24"/>
          <w:szCs w:val="24"/>
        </w:rPr>
        <w:t>execuție lucrări pentru realizarea obiectivului</w:t>
      </w:r>
    </w:p>
    <w:p w14:paraId="0AEE6D2D" w14:textId="19A045EA" w:rsidR="009D568A" w:rsidRPr="009D568A" w:rsidRDefault="009D568A" w:rsidP="00DC6CE5">
      <w:pPr>
        <w:spacing w:after="0" w:line="240" w:lineRule="auto"/>
        <w:contextualSpacing/>
        <w:jc w:val="center"/>
        <w:rPr>
          <w:rFonts w:ascii="Times New Roman" w:hAnsi="Times New Roman" w:cs="Times New Roman"/>
          <w:b/>
          <w:sz w:val="24"/>
          <w:szCs w:val="24"/>
        </w:rPr>
      </w:pPr>
      <w:r w:rsidRPr="009D568A">
        <w:rPr>
          <w:rFonts w:ascii="Times New Roman" w:hAnsi="Times New Roman" w:cs="Times New Roman"/>
          <w:b/>
          <w:noProof/>
          <w:sz w:val="24"/>
          <w:szCs w:val="24"/>
        </w:rPr>
        <w:t>”</w:t>
      </w:r>
      <w:bookmarkStart w:id="0" w:name="_Hlk111050448"/>
      <w:r w:rsidR="006D1D7E" w:rsidRPr="006D1D7E">
        <w:t xml:space="preserve"> </w:t>
      </w:r>
      <w:r w:rsidR="005248DE" w:rsidRPr="005248DE">
        <w:rPr>
          <w:rFonts w:ascii="Times New Roman" w:hAnsi="Times New Roman" w:cs="Times New Roman"/>
          <w:b/>
          <w:noProof/>
          <w:sz w:val="24"/>
          <w:szCs w:val="24"/>
        </w:rPr>
        <w:t>CONSOLIDARE ȘI RENOVARE ENERGETICĂ A CĂMINULUI CULTURAL SMÂRDAN</w:t>
      </w:r>
      <w:r w:rsidRPr="009D568A">
        <w:rPr>
          <w:rFonts w:ascii="Times New Roman" w:hAnsi="Times New Roman" w:cs="Times New Roman"/>
          <w:b/>
          <w:noProof/>
          <w:sz w:val="24"/>
          <w:szCs w:val="24"/>
        </w:rPr>
        <w:t>”</w:t>
      </w:r>
      <w:bookmarkEnd w:id="0"/>
    </w:p>
    <w:p w14:paraId="163EEEBE" w14:textId="77777777" w:rsidR="00F76F9F" w:rsidRPr="009B7265" w:rsidRDefault="00F76F9F" w:rsidP="00DC6CE5">
      <w:pPr>
        <w:spacing w:after="0" w:line="240" w:lineRule="auto"/>
        <w:contextual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744"/>
        <w:gridCol w:w="110"/>
      </w:tblGrid>
      <w:tr w:rsidR="009B7265" w:rsidRPr="009B7265" w14:paraId="67830DC7" w14:textId="77777777" w:rsidTr="005229D8">
        <w:tc>
          <w:tcPr>
            <w:tcW w:w="9854" w:type="dxa"/>
            <w:gridSpan w:val="2"/>
          </w:tcPr>
          <w:p w14:paraId="46B5A336" w14:textId="77777777" w:rsidR="00E86E36" w:rsidRPr="009B7265" w:rsidRDefault="00E86E36"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II.2.5) Criterii de atribuire</w:t>
            </w:r>
          </w:p>
          <w:p w14:paraId="41431739" w14:textId="77777777" w:rsidR="00E86E36" w:rsidRPr="009B7265" w:rsidRDefault="00E86E36"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Criteriile de mai jos</w:t>
            </w:r>
          </w:p>
          <w:p w14:paraId="45DEBFEC" w14:textId="1DF53952" w:rsidR="00E86E36" w:rsidRPr="009B7265" w:rsidRDefault="00342F1C"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x</w:t>
            </w:r>
            <w:r w:rsidR="00E86E36" w:rsidRPr="009B7265">
              <w:rPr>
                <w:rFonts w:ascii="Times New Roman" w:hAnsi="Times New Roman" w:cs="Times New Roman"/>
                <w:sz w:val="20"/>
                <w:szCs w:val="20"/>
              </w:rPr>
              <w:t xml:space="preserve"> Criteriul privind calitatea  </w:t>
            </w:r>
            <w:r w:rsidR="00C23BE8" w:rsidRPr="009B7265">
              <w:rPr>
                <w:rFonts w:ascii="Times New Roman" w:hAnsi="Times New Roman" w:cs="Times New Roman"/>
                <w:sz w:val="20"/>
                <w:szCs w:val="20"/>
              </w:rPr>
              <w:t xml:space="preserve">(cel mai bun raport calitate-preț/cel mai bun raport calitate-cost) </w:t>
            </w:r>
            <w:r w:rsidR="00E86E36" w:rsidRPr="009B7265">
              <w:rPr>
                <w:rFonts w:ascii="Times New Roman" w:hAnsi="Times New Roman" w:cs="Times New Roman"/>
                <w:sz w:val="20"/>
                <w:szCs w:val="20"/>
              </w:rPr>
              <w:t>- Nume: / Pondere:</w:t>
            </w:r>
          </w:p>
          <w:p w14:paraId="0D758EE3" w14:textId="49BA95E4"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Criteriul privind costul </w:t>
            </w:r>
            <w:r w:rsidR="00C23BE8" w:rsidRPr="009B7265">
              <w:rPr>
                <w:rFonts w:ascii="Times New Roman" w:hAnsi="Times New Roman" w:cs="Times New Roman"/>
                <w:sz w:val="20"/>
                <w:szCs w:val="20"/>
              </w:rPr>
              <w:t xml:space="preserve">(costul cel mai scăzut) </w:t>
            </w:r>
            <w:r w:rsidRPr="009B7265">
              <w:rPr>
                <w:rFonts w:ascii="Times New Roman" w:hAnsi="Times New Roman" w:cs="Times New Roman"/>
                <w:sz w:val="20"/>
                <w:szCs w:val="20"/>
              </w:rPr>
              <w:t>- Nume: / Pondere:</w:t>
            </w:r>
          </w:p>
          <w:p w14:paraId="71F75F3F" w14:textId="6A05BF93"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w:t>
            </w:r>
            <w:r w:rsidR="00C23BE8" w:rsidRPr="009B7265">
              <w:rPr>
                <w:rFonts w:ascii="Times New Roman" w:hAnsi="Times New Roman" w:cs="Times New Roman"/>
                <w:sz w:val="20"/>
                <w:szCs w:val="20"/>
              </w:rPr>
              <w:t>Criteriul privind p</w:t>
            </w:r>
            <w:r w:rsidRPr="009B7265">
              <w:rPr>
                <w:rFonts w:ascii="Times New Roman" w:hAnsi="Times New Roman" w:cs="Times New Roman"/>
                <w:sz w:val="20"/>
                <w:szCs w:val="20"/>
              </w:rPr>
              <w:t xml:space="preserve">rețul </w:t>
            </w:r>
            <w:r w:rsidR="00C23BE8" w:rsidRPr="009B7265">
              <w:rPr>
                <w:rFonts w:ascii="Times New Roman" w:hAnsi="Times New Roman" w:cs="Times New Roman"/>
                <w:sz w:val="20"/>
                <w:szCs w:val="20"/>
              </w:rPr>
              <w:t xml:space="preserve">(prețul cel mai scăzut) </w:t>
            </w:r>
            <w:r w:rsidRPr="009B7265">
              <w:rPr>
                <w:rFonts w:ascii="Times New Roman" w:hAnsi="Times New Roman" w:cs="Times New Roman"/>
                <w:sz w:val="20"/>
                <w:szCs w:val="20"/>
              </w:rPr>
              <w:t>- Pondere:</w:t>
            </w:r>
          </w:p>
          <w:p w14:paraId="3A0DEA59" w14:textId="77777777" w:rsidR="00E86E36" w:rsidRPr="009B7265" w:rsidRDefault="00E86E36" w:rsidP="00DC6CE5">
            <w:pPr>
              <w:ind w:left="29"/>
              <w:contextualSpacing/>
              <w:jc w:val="both"/>
              <w:rPr>
                <w:rFonts w:ascii="Times New Roman" w:hAnsi="Times New Roman" w:cs="Times New Roman"/>
                <w:sz w:val="20"/>
                <w:szCs w:val="20"/>
              </w:rPr>
            </w:pPr>
            <w:r w:rsidRPr="009B7265">
              <w:rPr>
                <w:rFonts w:ascii="Times New Roman" w:hAnsi="Times New Roman" w:cs="Times New Roman"/>
                <w:sz w:val="20"/>
                <w:szCs w:val="20"/>
              </w:rPr>
              <w:t>○ Prețul nu este singur criteriu de atribuire și toate criteriile sunt enunțate numai în documentele achiziției</w:t>
            </w:r>
          </w:p>
          <w:p w14:paraId="5571FC3E"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Factori de evaluare/subfactori de evaluare stabiliți sunt:</w:t>
            </w:r>
          </w:p>
          <w:p w14:paraId="10E6C040"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p>
          <w:p w14:paraId="7D785A1D" w14:textId="77777777" w:rsidR="00AF4F3A"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 xml:space="preserve">1. </w:t>
            </w:r>
            <w:r w:rsidR="00AF4F3A" w:rsidRPr="009B7265">
              <w:rPr>
                <w:rFonts w:ascii="Times New Roman" w:hAnsi="Times New Roman" w:cs="Times New Roman"/>
                <w:b/>
                <w:bCs/>
                <w:noProof/>
                <w:kern w:val="1"/>
                <w:sz w:val="20"/>
                <w:szCs w:val="20"/>
                <w:lang w:val="fi-FI" w:eastAsia="ar-SA"/>
              </w:rPr>
              <w:t>Prețul ofertei – pondere 90 puncte</w:t>
            </w:r>
          </w:p>
          <w:p w14:paraId="0D26062C" w14:textId="77777777" w:rsidR="00AF4F3A" w:rsidRPr="009B7265" w:rsidRDefault="00AF4F3A" w:rsidP="00DC6CE5">
            <w:pPr>
              <w:widowControl w:val="0"/>
              <w:suppressAutoHyphens/>
              <w:autoSpaceDE w:val="0"/>
              <w:contextualSpacing/>
              <w:jc w:val="both"/>
              <w:rPr>
                <w:rFonts w:ascii="Times New Roman" w:hAnsi="Times New Roman" w:cs="Times New Roman"/>
                <w:noProof/>
                <w:kern w:val="1"/>
                <w:sz w:val="20"/>
                <w:szCs w:val="20"/>
                <w:lang w:val="fi-FI" w:eastAsia="ar-SA"/>
              </w:rPr>
            </w:pPr>
            <w:r w:rsidRPr="009B7265">
              <w:rPr>
                <w:rFonts w:ascii="Times New Roman" w:hAnsi="Times New Roman" w:cs="Times New Roman"/>
                <w:noProof/>
                <w:kern w:val="1"/>
                <w:sz w:val="20"/>
                <w:szCs w:val="20"/>
                <w:lang w:val="fi-FI" w:eastAsia="ar-SA"/>
              </w:rPr>
              <w:t>Descriere: Componenta financiară – valoarea totala a contractului nu va depăși valoarea estimata a acestuia.</w:t>
            </w:r>
          </w:p>
          <w:p w14:paraId="26BDB419" w14:textId="06C76E60" w:rsidR="00342F1C" w:rsidRPr="009B7265" w:rsidRDefault="00AF4F3A" w:rsidP="00DC6CE5">
            <w:pPr>
              <w:widowControl w:val="0"/>
              <w:autoSpaceDE w:val="0"/>
              <w:contextualSpacing/>
              <w:jc w:val="both"/>
              <w:rPr>
                <w:rFonts w:ascii="Times New Roman" w:hAnsi="Times New Roman" w:cs="Times New Roman"/>
                <w:sz w:val="20"/>
                <w:szCs w:val="20"/>
              </w:rPr>
            </w:pPr>
            <w:r w:rsidRPr="009B7265">
              <w:rPr>
                <w:rFonts w:ascii="Times New Roman" w:hAnsi="Times New Roman" w:cs="Times New Roman"/>
                <w:noProof/>
                <w:kern w:val="1"/>
                <w:sz w:val="20"/>
                <w:szCs w:val="20"/>
                <w:lang w:val="fi-FI" w:eastAsia="ar-SA"/>
              </w:rPr>
              <w:t>Algoritm de calcul: Oferta admisibilă cu prețul cel mai mic obține 90 de puncte, iar punctajul celorlalte oferte admisibile se calculează folosind relația: Punctaj = 90 x (prețul ofertei cu prețul cel mai mic/prețul ofertei luate în calcul).</w:t>
            </w:r>
          </w:p>
          <w:p w14:paraId="465818EC" w14:textId="77777777" w:rsidR="00AF4F3A" w:rsidRPr="009B7265" w:rsidRDefault="00342F1C" w:rsidP="00DC6CE5">
            <w:pPr>
              <w:widowControl w:val="0"/>
              <w:autoSpaceDE w:val="0"/>
              <w:contextualSpacing/>
              <w:jc w:val="both"/>
              <w:rPr>
                <w:rFonts w:ascii="Times New Roman" w:hAnsi="Times New Roman" w:cs="Times New Roman"/>
                <w:b/>
                <w:sz w:val="20"/>
                <w:szCs w:val="20"/>
              </w:rPr>
            </w:pPr>
            <w:r w:rsidRPr="009B7265">
              <w:rPr>
                <w:rFonts w:ascii="Times New Roman" w:hAnsi="Times New Roman" w:cs="Times New Roman"/>
                <w:b/>
                <w:bCs/>
                <w:sz w:val="20"/>
                <w:szCs w:val="20"/>
              </w:rPr>
              <w:t xml:space="preserve">2. </w:t>
            </w:r>
            <w:r w:rsidR="00AF4F3A" w:rsidRPr="009B7265">
              <w:rPr>
                <w:rFonts w:ascii="Times New Roman" w:hAnsi="Times New Roman" w:cs="Times New Roman"/>
                <w:b/>
                <w:sz w:val="20"/>
                <w:szCs w:val="20"/>
              </w:rPr>
              <w:t>Gradul de adecvare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 10 puncte.</w:t>
            </w:r>
          </w:p>
          <w:p w14:paraId="3CC0E203" w14:textId="77777777" w:rsidR="00AF4F3A" w:rsidRPr="009B7265" w:rsidRDefault="00AF4F3A" w:rsidP="00DC6CE5">
            <w:pPr>
              <w:widowControl w:val="0"/>
              <w:autoSpaceDE w:val="0"/>
              <w:contextualSpacing/>
              <w:jc w:val="both"/>
              <w:rPr>
                <w:rFonts w:ascii="Times New Roman" w:hAnsi="Times New Roman" w:cs="Times New Roman"/>
                <w:b/>
                <w:sz w:val="20"/>
                <w:szCs w:val="20"/>
              </w:rPr>
            </w:pPr>
          </w:p>
          <w:p w14:paraId="097BA6EC" w14:textId="4EAB637B" w:rsidR="00342F1C" w:rsidRPr="009B7265" w:rsidRDefault="00AF4F3A" w:rsidP="00DC6CE5">
            <w:pPr>
              <w:autoSpaceDE w:val="0"/>
              <w:autoSpaceDN w:val="0"/>
              <w:adjustRightInd w:val="0"/>
              <w:contextualSpacing/>
              <w:jc w:val="both"/>
              <w:rPr>
                <w:rFonts w:ascii="Times New Roman" w:hAnsi="Times New Roman" w:cs="Times New Roman"/>
                <w:bCs/>
                <w:noProof/>
                <w:kern w:val="1"/>
                <w:sz w:val="20"/>
                <w:szCs w:val="20"/>
                <w:lang w:val="fi-FI" w:eastAsia="ar-SA"/>
              </w:rPr>
            </w:pPr>
            <w:r w:rsidRPr="009B7265">
              <w:rPr>
                <w:rFonts w:ascii="Times New Roman" w:hAnsi="Times New Roman" w:cs="Times New Roman"/>
                <w:bCs/>
                <w:sz w:val="20"/>
                <w:szCs w:val="20"/>
              </w:rPr>
              <w:t>Păstrând ponderea de 10% pentru acest factor și raportul (proporționalitatea) de punctaj propus de autoritatea contractantă (5-7-10), fiecare cerință, devenită subfactor de evaluare să fie punctată astfel: 5/6=0,83 puncte pentru cerințele îndeplinite satisfacător, 7/6=1,16 puncte pentru cerințele îndeplinite adecvat, 10/6=1,66 puncte pentru cerințele îndeplinite foarte bine</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184"/>
              <w:gridCol w:w="950"/>
              <w:gridCol w:w="1327"/>
              <w:gridCol w:w="1394"/>
            </w:tblGrid>
            <w:tr w:rsidR="009B7265" w:rsidRPr="009B7265" w14:paraId="2FAD15FE" w14:textId="77777777" w:rsidTr="00CB4C13">
              <w:trPr>
                <w:tblHeader/>
                <w:jc w:val="center"/>
              </w:trPr>
              <w:tc>
                <w:tcPr>
                  <w:tcW w:w="644" w:type="pct"/>
                  <w:shd w:val="clear" w:color="auto" w:fill="D9E2F3"/>
                  <w:vAlign w:val="center"/>
                </w:tcPr>
                <w:p w14:paraId="67BF69A0" w14:textId="77777777" w:rsidR="00342F1C" w:rsidRPr="009B7265" w:rsidRDefault="00342F1C" w:rsidP="00DC6CE5">
                  <w:pPr>
                    <w:spacing w:after="0" w:line="240" w:lineRule="auto"/>
                    <w:ind w:left="210"/>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Calificativ</w:t>
                  </w:r>
                </w:p>
              </w:tc>
              <w:tc>
                <w:tcPr>
                  <w:tcW w:w="2545" w:type="pct"/>
                  <w:shd w:val="clear" w:color="auto" w:fill="D9E2F3"/>
                  <w:vAlign w:val="center"/>
                </w:tcPr>
                <w:p w14:paraId="3543FA50"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Raționament utilizat în evaluarea conținutului ofertelor</w:t>
                  </w:r>
                </w:p>
              </w:tc>
              <w:tc>
                <w:tcPr>
                  <w:tcW w:w="487" w:type="pct"/>
                  <w:shd w:val="clear" w:color="auto" w:fill="D9E2F3"/>
                  <w:vAlign w:val="center"/>
                </w:tcPr>
                <w:p w14:paraId="0BE6AB14"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hAnsi="Times New Roman" w:cs="Times New Roman"/>
                      <w:b/>
                      <w:sz w:val="20"/>
                      <w:szCs w:val="20"/>
                    </w:rPr>
                    <w:t>Punctaj</w:t>
                  </w:r>
                </w:p>
              </w:tc>
              <w:tc>
                <w:tcPr>
                  <w:tcW w:w="645" w:type="pct"/>
                  <w:shd w:val="clear" w:color="auto" w:fill="D9E2F3"/>
                  <w:vAlign w:val="center"/>
                </w:tcPr>
                <w:p w14:paraId="2B3DD3D7"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Informațiile analizate în oferta</w:t>
                  </w:r>
                </w:p>
              </w:tc>
              <w:tc>
                <w:tcPr>
                  <w:tcW w:w="678" w:type="pct"/>
                  <w:shd w:val="clear" w:color="auto" w:fill="D9E2F3"/>
                  <w:vAlign w:val="center"/>
                </w:tcPr>
                <w:p w14:paraId="7DF4B412"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 relevante în Caietul de sarcini</w:t>
                  </w:r>
                </w:p>
              </w:tc>
            </w:tr>
            <w:tr w:rsidR="009B7265" w:rsidRPr="009B7265" w14:paraId="4F903C0F" w14:textId="77777777" w:rsidTr="00CB4C13">
              <w:trPr>
                <w:jc w:val="center"/>
              </w:trPr>
              <w:tc>
                <w:tcPr>
                  <w:tcW w:w="644" w:type="pct"/>
                </w:tcPr>
                <w:p w14:paraId="1E318A11"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Acceptabil/</w:t>
                  </w:r>
                </w:p>
                <w:p w14:paraId="6D8A6B04"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Satisfăcător/</w:t>
                  </w:r>
                </w:p>
                <w:p w14:paraId="7238652C"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Parțial relevant</w:t>
                  </w:r>
                </w:p>
              </w:tc>
              <w:tc>
                <w:tcPr>
                  <w:tcW w:w="2545" w:type="pct"/>
                </w:tcPr>
                <w:p w14:paraId="788E3866"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însă acestea nu sunt detaliate în subactivități, graficul general de realizare a investiției publice neputând fi utilizat așa cum este prezentat ca dată de intrare în cadrul ședințelor de monitorizare a progresului activităților</w:t>
                  </w:r>
                </w:p>
                <w:p w14:paraId="0316A528"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succesiunea activităților în graficul general de realizare a investiției publice este stabilită într-un mod foarte puțin adecvat prin raportare la metodologia de execuţie a lucrărilor</w:t>
                  </w:r>
                </w:p>
                <w:p w14:paraId="16CAAC00"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mică măsură corespunzătoare complexității activităților (modalitate de realizare, date de intrare, date de ieșire)</w:t>
                  </w:r>
                </w:p>
                <w:p w14:paraId="783545E1"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punctele de reper (jaloanele) sunt identificate, dar nu sunt relevante prin de raportare la lucrările ce trebuie executate și metodologia de execuție a acestora;</w:t>
                  </w:r>
                </w:p>
                <w:p w14:paraId="2EC6BD54"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există neconcordanțe minore între graficul general de realizare a investiției publice, resursele utilizate, fluxul de numerar (propunerea financiară) şi metodologia de execuție;</w:t>
                  </w:r>
                </w:p>
                <w:p w14:paraId="195A0B45" w14:textId="77777777" w:rsidR="00342F1C" w:rsidRPr="009B7265" w:rsidRDefault="00342F1C" w:rsidP="00DC6CE5">
                  <w:pPr>
                    <w:numPr>
                      <w:ilvl w:val="0"/>
                      <w:numId w:val="9"/>
                    </w:numPr>
                    <w:spacing w:after="0" w:line="240" w:lineRule="auto"/>
                    <w:ind w:left="331" w:hanging="180"/>
                    <w:contextualSpacing/>
                    <w:jc w:val="both"/>
                    <w:rPr>
                      <w:rFonts w:ascii="Times New Roman" w:hAnsi="Times New Roman" w:cs="Times New Roman"/>
                      <w:sz w:val="20"/>
                      <w:szCs w:val="20"/>
                    </w:rPr>
                  </w:pPr>
                  <w:r w:rsidRPr="009B7265">
                    <w:rPr>
                      <w:rFonts w:ascii="Times New Roman" w:eastAsia="Calibri" w:hAnsi="Times New Roman" w:cs="Times New Roman"/>
                      <w:sz w:val="20"/>
                      <w:szCs w:val="20"/>
                    </w:rPr>
                    <w:t>drumul critic nu corespunde metodologiei de execuţie a lucrărilor prezentate</w:t>
                  </w:r>
                </w:p>
              </w:tc>
              <w:tc>
                <w:tcPr>
                  <w:tcW w:w="487" w:type="pct"/>
                </w:tcPr>
                <w:p w14:paraId="2E6F220C"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879E0E0"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6B4EC41"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 xml:space="preserve">5 puncte </w:t>
                  </w:r>
                </w:p>
              </w:tc>
              <w:tc>
                <w:tcPr>
                  <w:tcW w:w="645" w:type="pct"/>
                </w:tcPr>
                <w:p w14:paraId="15D8759F"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Informațiile prezentate în propunerea tehnică la </w:t>
                  </w:r>
                </w:p>
                <w:p w14:paraId="2C251FEB"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“Metodologia de executare a lucrărilor</w:t>
                  </w:r>
                </w:p>
                <w:p w14:paraId="274634F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Graficul general de realizare a investiției publice în cadrul Contractului / graficul general de realizare a lucrărilor</w:t>
                  </w:r>
                </w:p>
                <w:p w14:paraId="4B6AC33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p w14:paraId="59D00CDD"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Fluxul de numerar din propunerea financiară</w:t>
                  </w:r>
                </w:p>
              </w:tc>
              <w:tc>
                <w:tcPr>
                  <w:tcW w:w="678" w:type="pct"/>
                </w:tcPr>
                <w:p w14:paraId="1D8A6C1B"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informații</w:t>
                  </w:r>
                </w:p>
                <w:p w14:paraId="6261F7E9"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privind activitățile</w:t>
                  </w:r>
                </w:p>
                <w:p w14:paraId="63709702"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solicitate prin</w:t>
                  </w:r>
                </w:p>
                <w:p w14:paraId="715E211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prezentul Caiet de Sarcini</w:t>
                  </w:r>
                </w:p>
                <w:p w14:paraId="432912E7"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19C6F8C5"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Rezumatul informațiilor și cerințele tehnice</w:t>
                  </w:r>
                </w:p>
                <w:p w14:paraId="014250A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681D8550"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Cerințe specifice de managementul Contractului</w:t>
                  </w:r>
                </w:p>
              </w:tc>
            </w:tr>
            <w:tr w:rsidR="009B7265" w:rsidRPr="009B7265" w14:paraId="1691671A" w14:textId="77777777" w:rsidTr="00CB4C13">
              <w:trPr>
                <w:jc w:val="center"/>
              </w:trPr>
              <w:tc>
                <w:tcPr>
                  <w:tcW w:w="644" w:type="pct"/>
                </w:tcPr>
                <w:p w14:paraId="6B5CE343"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Bine/ Adecvat</w:t>
                  </w:r>
                </w:p>
              </w:tc>
              <w:tc>
                <w:tcPr>
                  <w:tcW w:w="2545" w:type="pct"/>
                </w:tcPr>
                <w:p w14:paraId="65877D0B" w14:textId="77777777" w:rsidR="00342F1C" w:rsidRPr="009B7265" w:rsidRDefault="00342F1C" w:rsidP="00DC6CE5">
                  <w:pPr>
                    <w:numPr>
                      <w:ilvl w:val="0"/>
                      <w:numId w:val="10"/>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19D50B01"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succesiunea activităților în graficul general de realizare a </w:t>
                  </w:r>
                  <w:r w:rsidRPr="009B7265">
                    <w:rPr>
                      <w:rFonts w:ascii="Times New Roman" w:eastAsia="Calibri" w:hAnsi="Times New Roman" w:cs="Times New Roman"/>
                      <w:sz w:val="20"/>
                      <w:szCs w:val="20"/>
                    </w:rPr>
                    <w:lastRenderedPageBreak/>
                    <w:t>investiției publice este stabilită cu deviații minore prin raportare la metodologia de execuție a lucrărilor;</w:t>
                  </w:r>
                </w:p>
                <w:p w14:paraId="1D13F072"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corespunzătoare complexității activităților (modalitate de realizare, date de intrare, date de ieșire);</w:t>
                  </w:r>
                </w:p>
                <w:p w14:paraId="20FBF90B"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7D8DD43D"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graficul general de realizare a investiției publice, resursele utilizate şi fluxul de numerar (propunerea financiară) sunt corelate cu metodologia de execuţie; </w:t>
                  </w:r>
                </w:p>
                <w:p w14:paraId="45141FAC"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drumul critic este aliniat în mare parte metodologiei de execuţie a lucrărilor prezentate</w:t>
                  </w:r>
                </w:p>
              </w:tc>
              <w:tc>
                <w:tcPr>
                  <w:tcW w:w="487" w:type="pct"/>
                </w:tcPr>
                <w:p w14:paraId="300FD889" w14:textId="038BB938" w:rsidR="00342F1C" w:rsidRPr="009B7265" w:rsidRDefault="00AF4F3A"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lastRenderedPageBreak/>
                    <w:t>7</w:t>
                  </w:r>
                  <w:r w:rsidR="00E61508">
                    <w:rPr>
                      <w:rFonts w:ascii="Times New Roman" w:eastAsia="Calibri" w:hAnsi="Times New Roman" w:cs="Times New Roman"/>
                      <w:b/>
                      <w:sz w:val="20"/>
                      <w:szCs w:val="20"/>
                    </w:rPr>
                    <w:t xml:space="preserve"> </w:t>
                  </w:r>
                  <w:r w:rsidR="00342F1C" w:rsidRPr="009B7265">
                    <w:rPr>
                      <w:rFonts w:ascii="Times New Roman" w:eastAsia="Calibri" w:hAnsi="Times New Roman" w:cs="Times New Roman"/>
                      <w:b/>
                      <w:sz w:val="20"/>
                      <w:szCs w:val="20"/>
                    </w:rPr>
                    <w:t>puncte</w:t>
                  </w:r>
                </w:p>
              </w:tc>
              <w:tc>
                <w:tcPr>
                  <w:tcW w:w="645" w:type="pct"/>
                  <w:vMerge w:val="restart"/>
                </w:tcPr>
                <w:p w14:paraId="6AF2CB72"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tc>
              <w:tc>
                <w:tcPr>
                  <w:tcW w:w="670" w:type="pct"/>
                  <w:vMerge w:val="restart"/>
                </w:tcPr>
                <w:p w14:paraId="7F73BFC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9B7265" w:rsidRPr="009B7265" w14:paraId="56F56FB9" w14:textId="77777777" w:rsidTr="00CB4C13">
              <w:trPr>
                <w:jc w:val="center"/>
              </w:trPr>
              <w:tc>
                <w:tcPr>
                  <w:tcW w:w="644" w:type="pct"/>
                </w:tcPr>
                <w:p w14:paraId="632D0545"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lastRenderedPageBreak/>
                    <w:t>Foarte bine/ Excepțional</w:t>
                  </w:r>
                </w:p>
              </w:tc>
              <w:tc>
                <w:tcPr>
                  <w:tcW w:w="2545" w:type="pct"/>
                </w:tcPr>
                <w:p w14:paraId="5130041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toate activitățile principale sunt incluse în graficul general de realizare a investiției publice, sunt detaliate în subactivități, graficul general de realizare a investiției publice poate fi utilizat așa cum este prezentat ca dată de intrare în cadrul ședințelor de monitorizare a progresului în cadrul Contractului;</w:t>
                  </w:r>
                </w:p>
                <w:p w14:paraId="3A194F3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succesiunea activităților în graficul general de realizare a investiției publice este foarte bine stabilită prin raportare la metodologia de execuţie a lucrărilor, </w:t>
                  </w:r>
                </w:p>
                <w:p w14:paraId="780052DB"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totalitate corespunzătoare complexității activităților (modalitate de realizare, date de intrare, date de ieșire);</w:t>
                  </w:r>
                </w:p>
                <w:p w14:paraId="3F779B03"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6A829AE1"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graficul general de realizare a investiției publice demonstrează optimizarea utilizării resurselor. Sunt prezentate explicații detaliate iar graficul general de realizare a investiției publice, resursele utilizate şi fluxul de numerar (propunerea financiară) sunt corelate cu metodologia de execuţie. Planificarea activităților permite flexibilitate pentru situații neprevăzute;</w:t>
                  </w:r>
                </w:p>
                <w:p w14:paraId="2F7C8CF2"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drumul critic corespunde în totalitate metodologiei de execuţie a lucrărilor prezentate.</w:t>
                  </w:r>
                </w:p>
              </w:tc>
              <w:tc>
                <w:tcPr>
                  <w:tcW w:w="487" w:type="pct"/>
                </w:tcPr>
                <w:p w14:paraId="5837E645" w14:textId="4486660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1</w:t>
                  </w:r>
                  <w:r w:rsidR="00AF4F3A" w:rsidRPr="009B7265">
                    <w:rPr>
                      <w:rFonts w:ascii="Times New Roman" w:eastAsia="Calibri" w:hAnsi="Times New Roman" w:cs="Times New Roman"/>
                      <w:b/>
                      <w:sz w:val="20"/>
                      <w:szCs w:val="20"/>
                    </w:rPr>
                    <w:t>0</w:t>
                  </w:r>
                  <w:r w:rsidRPr="009B7265">
                    <w:rPr>
                      <w:rFonts w:ascii="Times New Roman" w:eastAsia="Calibri" w:hAnsi="Times New Roman" w:cs="Times New Roman"/>
                      <w:b/>
                      <w:sz w:val="20"/>
                      <w:szCs w:val="20"/>
                    </w:rPr>
                    <w:t xml:space="preserve"> puncte</w:t>
                  </w:r>
                </w:p>
              </w:tc>
              <w:tc>
                <w:tcPr>
                  <w:tcW w:w="645" w:type="pct"/>
                  <w:vMerge/>
                </w:tcPr>
                <w:p w14:paraId="7389D46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c>
                <w:tcPr>
                  <w:tcW w:w="670" w:type="pct"/>
                  <w:vMerge/>
                </w:tcPr>
                <w:p w14:paraId="09A696D7"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bl>
          <w:p w14:paraId="210F6ADB" w14:textId="61716814" w:rsidR="00E86E36" w:rsidRPr="009B7265" w:rsidRDefault="00E86E36" w:rsidP="00DC6CE5">
            <w:pPr>
              <w:ind w:left="29"/>
              <w:contextualSpacing/>
              <w:jc w:val="both"/>
              <w:rPr>
                <w:rFonts w:ascii="Times New Roman" w:hAnsi="Times New Roman" w:cs="Times New Roman"/>
                <w:sz w:val="20"/>
                <w:szCs w:val="20"/>
              </w:rPr>
            </w:pPr>
          </w:p>
        </w:tc>
      </w:tr>
      <w:tr w:rsidR="005229D8" w:rsidRPr="009B7265" w14:paraId="6FD9132F" w14:textId="77777777" w:rsidTr="005229D8">
        <w:tc>
          <w:tcPr>
            <w:tcW w:w="9854" w:type="dxa"/>
            <w:gridSpan w:val="2"/>
          </w:tcPr>
          <w:p w14:paraId="66AF2E6B" w14:textId="77777777" w:rsidR="005229D8" w:rsidRPr="00FA1D37" w:rsidRDefault="005229D8" w:rsidP="005229D8">
            <w:pPr>
              <w:tabs>
                <w:tab w:val="left" w:pos="0"/>
              </w:tabs>
              <w:autoSpaceDE w:val="0"/>
              <w:autoSpaceDN w:val="0"/>
              <w:adjustRightInd w:val="0"/>
              <w:spacing w:line="276" w:lineRule="auto"/>
              <w:jc w:val="both"/>
              <w:rPr>
                <w:b/>
                <w:bCs/>
                <w:i/>
                <w:iCs/>
                <w:noProof/>
                <w:u w:val="single"/>
              </w:rPr>
            </w:pPr>
            <w:r w:rsidRPr="00FA1D37">
              <w:rPr>
                <w:b/>
                <w:bCs/>
                <w:i/>
                <w:iCs/>
                <w:noProof/>
                <w:u w:val="single"/>
              </w:rPr>
              <w:lastRenderedPageBreak/>
              <w:t xml:space="preserve">În cazul în care in grafic nu este reprezentate o activitate și/sau subactitvitate, atunci pentru cerința ”i” din cadrul raționamentului detaliat mai sus nu se va acorda punctaj. </w:t>
            </w:r>
          </w:p>
          <w:p w14:paraId="6994B27C"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Informații necesare în vederea asigurării unei concurențe reale între potențialii ofertanți, precum și evidențierea acelor prevederi/mecanisme care oferă posibilitatea verificării aplicabilității, în termeni reali, atât de către membrii comisiei de evaluare, cât și de potențialii ofertanți, în calitate de participanți la procedura, a acelor avantaje economice și/sau tehnice, cuantificabile și care pot fi urmărite atât în derularea procedurii cât și în executarea contractului: </w:t>
            </w:r>
          </w:p>
          <w:p w14:paraId="0890234E"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a) activități care sunt considerate principale ce vor sta la baza definirea jaloanelor/punctelor critice; </w:t>
            </w:r>
          </w:p>
          <w:p w14:paraId="1CA71C2A" w14:textId="77777777" w:rsidR="005229D8" w:rsidRPr="008073FA" w:rsidRDefault="005229D8" w:rsidP="005229D8">
            <w:pPr>
              <w:suppressAutoHyphens/>
              <w:spacing w:line="276" w:lineRule="auto"/>
              <w:contextualSpacing/>
              <w:jc w:val="both"/>
              <w:rPr>
                <w:i/>
                <w:iCs/>
                <w:lang w:val="it-IT"/>
              </w:rPr>
            </w:pPr>
            <w:r w:rsidRPr="008073FA">
              <w:rPr>
                <w:i/>
                <w:iCs/>
                <w:lang w:val="it-IT"/>
              </w:rPr>
              <w:t>Activitati Principale:</w:t>
            </w:r>
          </w:p>
          <w:p w14:paraId="51F02CE8" w14:textId="77777777" w:rsidR="005229D8" w:rsidRPr="008073FA" w:rsidRDefault="005229D8" w:rsidP="005229D8">
            <w:pPr>
              <w:numPr>
                <w:ilvl w:val="0"/>
                <w:numId w:val="35"/>
              </w:numPr>
              <w:spacing w:after="160" w:line="276" w:lineRule="auto"/>
              <w:contextualSpacing/>
              <w:jc w:val="both"/>
              <w:rPr>
                <w:rFonts w:ascii="Calibri" w:eastAsia="Calibri" w:hAnsi="Calibri"/>
                <w:b/>
                <w:lang w:val="x-none" w:eastAsia="x-none"/>
              </w:rPr>
            </w:pPr>
            <w:r w:rsidRPr="003E5C4E">
              <w:rPr>
                <w:rFonts w:ascii="Calibri" w:eastAsia="Calibri" w:hAnsi="Calibri"/>
                <w:b/>
                <w:bCs/>
                <w:i/>
                <w:iCs/>
                <w:lang w:val="it-IT" w:eastAsia="x-none"/>
              </w:rPr>
              <w:t xml:space="preserve">Execuția </w:t>
            </w:r>
            <w:bookmarkStart w:id="1" w:name="_Hlk187931241"/>
            <w:r w:rsidRPr="003E5C4E">
              <w:rPr>
                <w:rFonts w:ascii="Calibri" w:eastAsia="Calibri" w:hAnsi="Calibri"/>
                <w:b/>
                <w:bCs/>
                <w:i/>
                <w:iCs/>
                <w:lang w:val="it-IT" w:eastAsia="x-none"/>
              </w:rPr>
              <w:t>lucrărilor</w:t>
            </w:r>
            <w:r w:rsidRPr="008073FA">
              <w:rPr>
                <w:rFonts w:ascii="Calibri" w:eastAsia="Calibri" w:hAnsi="Calibri"/>
                <w:i/>
                <w:iCs/>
                <w:lang w:val="it-IT" w:eastAsia="x-none"/>
              </w:rPr>
              <w:t xml:space="preserve"> </w:t>
            </w:r>
            <w:r w:rsidRPr="008073FA">
              <w:rPr>
                <w:rFonts w:ascii="Calibri" w:eastAsia="Calibri" w:hAnsi="Calibri"/>
                <w:b/>
                <w:noProof/>
                <w:lang w:eastAsia="x-none"/>
              </w:rPr>
              <w:t>„</w:t>
            </w:r>
            <w:r w:rsidRPr="008073FA">
              <w:rPr>
                <w:rFonts w:eastAsia="MS Mincho"/>
              </w:rPr>
              <w:t>CONSOLIDARE ȘI RENOVARE ENERGETICĂ A CĂMINULUI CULTURAL SMÂRDAN</w:t>
            </w:r>
            <w:r w:rsidRPr="008073FA">
              <w:rPr>
                <w:rFonts w:ascii="Calibri" w:eastAsia="Calibri" w:hAnsi="Calibri"/>
                <w:b/>
                <w:noProof/>
                <w:lang w:eastAsia="x-none"/>
              </w:rPr>
              <w:t>”</w:t>
            </w:r>
          </w:p>
          <w:p w14:paraId="05F79C39" w14:textId="77777777" w:rsidR="005229D8" w:rsidRPr="008073FA" w:rsidRDefault="005229D8" w:rsidP="005229D8">
            <w:pPr>
              <w:numPr>
                <w:ilvl w:val="0"/>
                <w:numId w:val="35"/>
              </w:numPr>
              <w:spacing w:after="160" w:line="276" w:lineRule="auto"/>
              <w:contextualSpacing/>
              <w:jc w:val="both"/>
              <w:rPr>
                <w:rFonts w:ascii="Calibri" w:eastAsia="Calibri" w:hAnsi="Calibri"/>
                <w:b/>
                <w:lang w:val="x-none" w:eastAsia="x-none"/>
              </w:rPr>
            </w:pPr>
            <w:proofErr w:type="spellStart"/>
            <w:r w:rsidRPr="003E5C4E">
              <w:rPr>
                <w:rFonts w:ascii="Calibri" w:eastAsia="Calibri" w:hAnsi="Calibri"/>
                <w:b/>
                <w:i/>
                <w:iCs/>
                <w:lang w:val="x-none" w:eastAsia="x-none"/>
              </w:rPr>
              <w:t>Garanția</w:t>
            </w:r>
            <w:proofErr w:type="spellEnd"/>
            <w:r w:rsidRPr="003E5C4E">
              <w:rPr>
                <w:rFonts w:ascii="Calibri" w:eastAsia="Calibri" w:hAnsi="Calibri"/>
                <w:b/>
                <w:i/>
                <w:iCs/>
                <w:lang w:val="x-none" w:eastAsia="x-none"/>
              </w:rPr>
              <w:t xml:space="preserve"> </w:t>
            </w:r>
            <w:r w:rsidRPr="003E5C4E">
              <w:rPr>
                <w:rFonts w:ascii="Calibri" w:eastAsia="Calibri" w:hAnsi="Calibri"/>
                <w:b/>
                <w:i/>
                <w:iCs/>
                <w:lang w:val="it-IT" w:eastAsia="x-none"/>
              </w:rPr>
              <w:t>lucrărilor</w:t>
            </w:r>
            <w:r w:rsidRPr="003E5C4E">
              <w:rPr>
                <w:rFonts w:ascii="Calibri" w:eastAsia="Calibri" w:hAnsi="Calibri"/>
                <w:bCs/>
                <w:i/>
                <w:iCs/>
                <w:lang w:val="it-IT" w:eastAsia="x-none"/>
              </w:rPr>
              <w:t xml:space="preserve"> </w:t>
            </w:r>
            <w:r w:rsidRPr="003E5C4E">
              <w:rPr>
                <w:rFonts w:ascii="Calibri" w:eastAsia="Calibri" w:hAnsi="Calibri"/>
                <w:bCs/>
                <w:noProof/>
                <w:lang w:eastAsia="x-none"/>
              </w:rPr>
              <w:t>„</w:t>
            </w:r>
            <w:r w:rsidRPr="003E5C4E">
              <w:rPr>
                <w:rFonts w:eastAsia="MS Mincho"/>
                <w:bCs/>
                <w:lang w:val="fr-FR"/>
              </w:rPr>
              <w:t>CONSOLIDARE</w:t>
            </w:r>
            <w:r w:rsidRPr="008073FA">
              <w:rPr>
                <w:rFonts w:eastAsia="MS Mincho"/>
                <w:lang w:val="fr-FR"/>
              </w:rPr>
              <w:t xml:space="preserve"> ȘI RENOVARE ENERGETICĂ A CĂMINULUI CULTURAL SMÂRDAN</w:t>
            </w:r>
            <w:r w:rsidRPr="008073FA">
              <w:rPr>
                <w:rFonts w:ascii="Calibri" w:eastAsia="Calibri" w:hAnsi="Calibri"/>
                <w:b/>
                <w:noProof/>
                <w:lang w:eastAsia="x-none"/>
              </w:rPr>
              <w:t>”</w:t>
            </w:r>
          </w:p>
          <w:bookmarkEnd w:id="1"/>
          <w:p w14:paraId="0730E551"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b) acțiuni care sunt considerate sub-activități ce conduc la îndeplinirea activităților principale; </w:t>
            </w:r>
          </w:p>
          <w:p w14:paraId="79DA0726" w14:textId="77777777" w:rsidR="005229D8" w:rsidRPr="005248DE" w:rsidRDefault="005229D8" w:rsidP="005229D8">
            <w:pPr>
              <w:suppressAutoHyphens/>
              <w:spacing w:line="276" w:lineRule="auto"/>
              <w:contextualSpacing/>
              <w:jc w:val="both"/>
              <w:rPr>
                <w:b/>
                <w:bCs/>
                <w:i/>
                <w:iCs/>
                <w:lang w:val="it-IT"/>
              </w:rPr>
            </w:pPr>
            <w:r w:rsidRPr="005248DE">
              <w:rPr>
                <w:b/>
                <w:bCs/>
                <w:i/>
                <w:iCs/>
                <w:lang w:val="it-IT"/>
              </w:rPr>
              <w:t>EXECUTIE -jalon principal</w:t>
            </w:r>
          </w:p>
          <w:p w14:paraId="3C513BE2" w14:textId="77777777" w:rsidR="005229D8" w:rsidRPr="008073FA" w:rsidRDefault="005229D8" w:rsidP="005229D8">
            <w:pPr>
              <w:suppressAutoHyphens/>
              <w:spacing w:line="276" w:lineRule="auto"/>
              <w:contextualSpacing/>
              <w:jc w:val="both"/>
              <w:rPr>
                <w:i/>
                <w:iCs/>
                <w:lang w:val="it-IT"/>
              </w:rPr>
            </w:pPr>
            <w:r w:rsidRPr="008073FA">
              <w:rPr>
                <w:i/>
                <w:iCs/>
                <w:lang w:val="it-IT"/>
              </w:rPr>
              <w:t>Subactivități (jaloane secundare):</w:t>
            </w:r>
          </w:p>
          <w:p w14:paraId="13732957" w14:textId="77777777" w:rsidR="005229D8" w:rsidRPr="008073FA" w:rsidRDefault="005229D8" w:rsidP="005229D8">
            <w:pPr>
              <w:suppressAutoHyphens/>
              <w:spacing w:line="276" w:lineRule="auto"/>
              <w:contextualSpacing/>
              <w:jc w:val="both"/>
              <w:rPr>
                <w:i/>
                <w:iCs/>
                <w:lang w:val="it-IT"/>
              </w:rPr>
            </w:pPr>
            <w:r w:rsidRPr="008073FA">
              <w:rPr>
                <w:i/>
                <w:iCs/>
                <w:lang w:val="it-IT"/>
              </w:rPr>
              <w:t>Emiterea ordinului de începere a execuției lucrărilor</w:t>
            </w:r>
          </w:p>
          <w:p w14:paraId="4405B916" w14:textId="77777777" w:rsidR="005229D8" w:rsidRPr="008073FA" w:rsidRDefault="005229D8" w:rsidP="005229D8">
            <w:pPr>
              <w:suppressAutoHyphens/>
              <w:spacing w:line="276" w:lineRule="auto"/>
              <w:contextualSpacing/>
              <w:jc w:val="both"/>
              <w:rPr>
                <w:i/>
                <w:iCs/>
                <w:lang w:val="it-IT"/>
              </w:rPr>
            </w:pPr>
            <w:r w:rsidRPr="008073FA">
              <w:rPr>
                <w:i/>
                <w:iCs/>
                <w:lang w:val="it-IT"/>
              </w:rPr>
              <w:t>Mobilizarea antreprenorului</w:t>
            </w:r>
          </w:p>
          <w:p w14:paraId="2A9A4999" w14:textId="77777777" w:rsidR="005229D8" w:rsidRPr="008073FA" w:rsidRDefault="005229D8" w:rsidP="005229D8">
            <w:pPr>
              <w:suppressAutoHyphens/>
              <w:spacing w:line="276" w:lineRule="auto"/>
              <w:contextualSpacing/>
              <w:jc w:val="both"/>
              <w:rPr>
                <w:i/>
                <w:iCs/>
                <w:lang w:val="it-IT"/>
              </w:rPr>
            </w:pPr>
            <w:r w:rsidRPr="008073FA">
              <w:rPr>
                <w:bCs/>
                <w:i/>
                <w:iCs/>
                <w:lang w:eastAsia="ro-RO"/>
              </w:rPr>
              <w:lastRenderedPageBreak/>
              <w:t>Elaborarea graficului de execuție /plați detaliat</w:t>
            </w:r>
          </w:p>
          <w:p w14:paraId="7C064CCB" w14:textId="77777777" w:rsidR="005229D8" w:rsidRPr="008073FA" w:rsidRDefault="005229D8" w:rsidP="005229D8">
            <w:pPr>
              <w:suppressAutoHyphens/>
              <w:spacing w:line="276" w:lineRule="auto"/>
              <w:contextualSpacing/>
              <w:jc w:val="both"/>
              <w:rPr>
                <w:i/>
                <w:iCs/>
                <w:lang w:val="it-IT"/>
              </w:rPr>
            </w:pPr>
            <w:r w:rsidRPr="008073FA">
              <w:rPr>
                <w:i/>
                <w:iCs/>
                <w:lang w:val="it-IT"/>
              </w:rPr>
              <w:t>Realizarea organizării de șantier</w:t>
            </w:r>
          </w:p>
          <w:p w14:paraId="18BCFC43" w14:textId="77777777" w:rsidR="005229D8" w:rsidRPr="008073FA" w:rsidRDefault="005229D8" w:rsidP="005229D8">
            <w:pPr>
              <w:suppressAutoHyphens/>
              <w:spacing w:line="276" w:lineRule="auto"/>
              <w:contextualSpacing/>
              <w:jc w:val="both"/>
              <w:rPr>
                <w:i/>
                <w:iCs/>
                <w:lang w:val="it-IT"/>
              </w:rPr>
            </w:pPr>
            <w:r w:rsidRPr="008073FA">
              <w:rPr>
                <w:i/>
                <w:iCs/>
                <w:lang w:val="it-IT"/>
              </w:rPr>
              <w:t>Elaborarea graficului de execuție /plați detaliat</w:t>
            </w:r>
          </w:p>
          <w:p w14:paraId="25265B33" w14:textId="77777777" w:rsidR="005229D8" w:rsidRPr="008073FA" w:rsidRDefault="005229D8" w:rsidP="005229D8">
            <w:pPr>
              <w:suppressAutoHyphens/>
              <w:spacing w:line="276" w:lineRule="auto"/>
              <w:contextualSpacing/>
              <w:jc w:val="both"/>
              <w:rPr>
                <w:i/>
                <w:iCs/>
                <w:lang w:val="it-IT"/>
              </w:rPr>
            </w:pPr>
            <w:r w:rsidRPr="008073FA">
              <w:rPr>
                <w:bCs/>
                <w:i/>
                <w:iCs/>
                <w:lang w:eastAsia="ro-RO"/>
              </w:rPr>
              <w:t>Elaborarea Planului calitații, Planulului general de control al calitații, Planului de securitate și coordonare, Planulului de securitate și sanatate al Contractantului și Subcontractanților, Planulului de management al traficului rutier pe parcursul execuției elaborat conform Normelor Metodologice in vigoare, Planulului de management al mediului, Planului de paza</w:t>
            </w:r>
          </w:p>
          <w:p w14:paraId="4B858A98" w14:textId="77777777" w:rsidR="005229D8" w:rsidRPr="008073FA" w:rsidRDefault="005229D8" w:rsidP="005229D8">
            <w:pPr>
              <w:tabs>
                <w:tab w:val="left" w:pos="0"/>
              </w:tabs>
              <w:autoSpaceDE w:val="0"/>
              <w:autoSpaceDN w:val="0"/>
              <w:adjustRightInd w:val="0"/>
              <w:spacing w:line="276" w:lineRule="auto"/>
              <w:jc w:val="both"/>
              <w:rPr>
                <w:noProof/>
              </w:rPr>
            </w:pPr>
            <w:r w:rsidRPr="008073FA">
              <w:rPr>
                <w:noProof/>
              </w:rPr>
              <w:t>Pentru perioada de execuție a lucrărilor Autoritatea contractantă definește și următoarele jaloane, care vor fi incluse în Graficul prezentat in ofertă, respectiv vor fi introduse și respectate de Anpreprenor  în programul de execuție definit în prezentul caiet de sarcini la pct. 31. coroborat cu clauza 17 Programul de Execuţie din condițiile generale anexe la Acordul contractual:</w:t>
            </w:r>
          </w:p>
          <w:p w14:paraId="5D22C59B" w14:textId="77777777" w:rsidR="005229D8" w:rsidRPr="008073FA" w:rsidRDefault="005229D8" w:rsidP="005229D8">
            <w:pPr>
              <w:tabs>
                <w:tab w:val="left" w:pos="0"/>
              </w:tabs>
              <w:autoSpaceDE w:val="0"/>
              <w:autoSpaceDN w:val="0"/>
              <w:adjustRightInd w:val="0"/>
              <w:spacing w:line="276" w:lineRule="auto"/>
              <w:jc w:val="both"/>
              <w:rPr>
                <w:noProof/>
              </w:rPr>
            </w:pPr>
            <w:r w:rsidRPr="008073FA">
              <w:rPr>
                <w:noProof/>
              </w:rPr>
              <w:t>-</w:t>
            </w:r>
            <w:r w:rsidRPr="008073FA">
              <w:rPr>
                <w:noProof/>
              </w:rPr>
              <w:tab/>
              <w:t>in maxim 6 luni de la emiterea ordinului de începere a executării lucrărilor se va atinge un progres fizic de 25%;</w:t>
            </w:r>
          </w:p>
          <w:p w14:paraId="1A03A3BA" w14:textId="3AFDC385" w:rsidR="005229D8" w:rsidRPr="008073FA" w:rsidRDefault="005229D8" w:rsidP="005229D8">
            <w:pPr>
              <w:tabs>
                <w:tab w:val="left" w:pos="0"/>
              </w:tabs>
              <w:autoSpaceDE w:val="0"/>
              <w:autoSpaceDN w:val="0"/>
              <w:adjustRightInd w:val="0"/>
              <w:spacing w:line="276" w:lineRule="auto"/>
              <w:jc w:val="both"/>
              <w:rPr>
                <w:noProof/>
              </w:rPr>
            </w:pPr>
            <w:r w:rsidRPr="008073FA">
              <w:rPr>
                <w:noProof/>
              </w:rPr>
              <w:t>-</w:t>
            </w:r>
            <w:r w:rsidRPr="008073FA">
              <w:rPr>
                <w:noProof/>
              </w:rPr>
              <w:tab/>
              <w:t>in maxim 1</w:t>
            </w:r>
            <w:r w:rsidR="008F66FD">
              <w:rPr>
                <w:noProof/>
              </w:rPr>
              <w:t>0</w:t>
            </w:r>
            <w:r w:rsidRPr="008073FA">
              <w:rPr>
                <w:noProof/>
              </w:rPr>
              <w:t xml:space="preserve"> luni de la emiterea ordinului de începere a executării lucrărilor se va atinge un progres fizic de 50%;</w:t>
            </w:r>
          </w:p>
          <w:p w14:paraId="18ACD6F0" w14:textId="78E6A9F6" w:rsidR="005229D8" w:rsidRPr="008073FA" w:rsidRDefault="005229D8" w:rsidP="005229D8">
            <w:pPr>
              <w:tabs>
                <w:tab w:val="left" w:pos="0"/>
              </w:tabs>
              <w:autoSpaceDE w:val="0"/>
              <w:autoSpaceDN w:val="0"/>
              <w:adjustRightInd w:val="0"/>
              <w:spacing w:line="276" w:lineRule="auto"/>
              <w:jc w:val="both"/>
              <w:rPr>
                <w:noProof/>
              </w:rPr>
            </w:pPr>
            <w:r w:rsidRPr="008073FA">
              <w:rPr>
                <w:noProof/>
              </w:rPr>
              <w:t>-</w:t>
            </w:r>
            <w:r w:rsidRPr="008073FA">
              <w:rPr>
                <w:noProof/>
              </w:rPr>
              <w:tab/>
              <w:t>in maxim 1</w:t>
            </w:r>
            <w:r w:rsidR="008F66FD">
              <w:rPr>
                <w:noProof/>
              </w:rPr>
              <w:t>5</w:t>
            </w:r>
            <w:r w:rsidRPr="008073FA">
              <w:rPr>
                <w:noProof/>
              </w:rPr>
              <w:t xml:space="preserve"> luni de la emiterea ordinului de începere a executării lucrărilor se va atinge un progres fizic de 75%;</w:t>
            </w:r>
          </w:p>
          <w:p w14:paraId="39BE69CA" w14:textId="29131765" w:rsidR="005229D8" w:rsidRPr="008073FA" w:rsidRDefault="008F66FD" w:rsidP="005229D8">
            <w:pPr>
              <w:tabs>
                <w:tab w:val="left" w:pos="0"/>
              </w:tabs>
              <w:autoSpaceDE w:val="0"/>
              <w:autoSpaceDN w:val="0"/>
              <w:adjustRightInd w:val="0"/>
              <w:spacing w:line="276" w:lineRule="auto"/>
              <w:jc w:val="both"/>
              <w:rPr>
                <w:noProof/>
              </w:rPr>
            </w:pPr>
            <w:r>
              <w:rPr>
                <w:noProof/>
              </w:rPr>
              <w:t>-</w:t>
            </w:r>
            <w:r>
              <w:rPr>
                <w:noProof/>
              </w:rPr>
              <w:tab/>
              <w:t>in maxim 18</w:t>
            </w:r>
            <w:bookmarkStart w:id="2" w:name="_GoBack"/>
            <w:bookmarkEnd w:id="2"/>
            <w:r w:rsidR="005229D8" w:rsidRPr="008073FA">
              <w:rPr>
                <w:noProof/>
              </w:rPr>
              <w:t xml:space="preserve"> luni de la emiterea ordinului de începere a executării lucrărilor se va atinge un progres fizic de 100%;</w:t>
            </w:r>
          </w:p>
          <w:p w14:paraId="58ED317D" w14:textId="77777777" w:rsidR="005229D8" w:rsidRPr="008073FA" w:rsidRDefault="005229D8" w:rsidP="005229D8">
            <w:pPr>
              <w:tabs>
                <w:tab w:val="left" w:pos="0"/>
              </w:tabs>
              <w:autoSpaceDE w:val="0"/>
              <w:autoSpaceDN w:val="0"/>
              <w:adjustRightInd w:val="0"/>
              <w:spacing w:line="276" w:lineRule="auto"/>
              <w:jc w:val="both"/>
              <w:rPr>
                <w:noProof/>
              </w:rPr>
            </w:pPr>
            <w:r w:rsidRPr="008073FA">
              <w:rPr>
                <w:noProof/>
              </w:rPr>
              <w:t>Totodată respectarea acestor jaloane constituie și indicator de performanță așa cum este precizat în prezentul caiet de sarcini la pct. 34. Evaluarea modului în care a fost implementat Contractul de către Contractant</w:t>
            </w:r>
          </w:p>
          <w:p w14:paraId="1E9070B6" w14:textId="77777777" w:rsidR="005229D8" w:rsidRPr="008073FA" w:rsidRDefault="005229D8" w:rsidP="005229D8">
            <w:pPr>
              <w:spacing w:line="276" w:lineRule="auto"/>
              <w:contextualSpacing/>
              <w:jc w:val="both"/>
              <w:rPr>
                <w:rFonts w:ascii="Calibri" w:eastAsia="Calibri" w:hAnsi="Calibri"/>
                <w:i/>
                <w:iCs/>
                <w:lang w:val="it-IT" w:eastAsia="x-none"/>
              </w:rPr>
            </w:pPr>
          </w:p>
          <w:p w14:paraId="2640C9F7" w14:textId="77777777" w:rsidR="005229D8" w:rsidRPr="005248DE" w:rsidRDefault="005229D8" w:rsidP="005229D8">
            <w:pPr>
              <w:spacing w:line="276" w:lineRule="auto"/>
              <w:contextualSpacing/>
              <w:jc w:val="both"/>
              <w:rPr>
                <w:rFonts w:ascii="Calibri" w:eastAsia="Calibri" w:hAnsi="Calibri"/>
                <w:b/>
                <w:bCs/>
                <w:noProof/>
                <w:lang w:val="x-none" w:eastAsia="x-none"/>
              </w:rPr>
            </w:pPr>
            <w:r w:rsidRPr="005248DE">
              <w:rPr>
                <w:rFonts w:ascii="Calibri" w:eastAsia="Calibri" w:hAnsi="Calibri"/>
                <w:b/>
                <w:bCs/>
                <w:i/>
                <w:iCs/>
                <w:lang w:val="it-IT" w:eastAsia="x-none"/>
              </w:rPr>
              <w:t>Garanția (jalon principal) lucrărilor “</w:t>
            </w:r>
            <w:r w:rsidRPr="005248DE">
              <w:rPr>
                <w:rFonts w:ascii="Calibri" w:eastAsia="Calibri" w:hAnsi="Calibri"/>
                <w:b/>
                <w:bCs/>
                <w:noProof/>
                <w:lang w:eastAsia="x-none"/>
              </w:rPr>
              <w:t>CONSOLIDARE ȘI RENOVARE ENERGETICĂ A CĂMINULUI CULTURAL SMÂRDAN”</w:t>
            </w:r>
          </w:p>
          <w:p w14:paraId="1E90C606" w14:textId="77777777" w:rsidR="005229D8" w:rsidRPr="008073FA" w:rsidRDefault="005229D8" w:rsidP="005229D8">
            <w:pPr>
              <w:spacing w:line="276" w:lineRule="auto"/>
              <w:ind w:left="360"/>
              <w:jc w:val="both"/>
              <w:rPr>
                <w:b/>
                <w:lang w:val="fr-FR"/>
              </w:rPr>
            </w:pPr>
            <w:proofErr w:type="spellStart"/>
            <w:r w:rsidRPr="008073FA">
              <w:rPr>
                <w:b/>
                <w:lang w:val="fr-FR"/>
              </w:rPr>
              <w:t>Subactivități</w:t>
            </w:r>
            <w:proofErr w:type="spellEnd"/>
            <w:r w:rsidRPr="008073FA">
              <w:rPr>
                <w:b/>
                <w:lang w:val="fr-FR"/>
              </w:rPr>
              <w:t xml:space="preserve"> (</w:t>
            </w:r>
            <w:proofErr w:type="spellStart"/>
            <w:r w:rsidRPr="008073FA">
              <w:rPr>
                <w:b/>
                <w:lang w:val="fr-FR"/>
              </w:rPr>
              <w:t>jaloane</w:t>
            </w:r>
            <w:proofErr w:type="spellEnd"/>
            <w:r w:rsidRPr="008073FA">
              <w:rPr>
                <w:b/>
                <w:lang w:val="fr-FR"/>
              </w:rPr>
              <w:t xml:space="preserve"> </w:t>
            </w:r>
            <w:proofErr w:type="spellStart"/>
            <w:r w:rsidRPr="008073FA">
              <w:rPr>
                <w:b/>
                <w:lang w:val="fr-FR"/>
              </w:rPr>
              <w:t>secundare</w:t>
            </w:r>
            <w:proofErr w:type="spellEnd"/>
            <w:r w:rsidRPr="008073FA">
              <w:rPr>
                <w:b/>
                <w:lang w:val="fr-FR"/>
              </w:rPr>
              <w:t>):</w:t>
            </w:r>
          </w:p>
          <w:p w14:paraId="33099DFC" w14:textId="77777777" w:rsidR="005229D8" w:rsidRPr="008073FA" w:rsidRDefault="005229D8" w:rsidP="005229D8">
            <w:pPr>
              <w:suppressAutoHyphens/>
              <w:spacing w:line="276" w:lineRule="auto"/>
              <w:contextualSpacing/>
              <w:jc w:val="both"/>
              <w:rPr>
                <w:i/>
                <w:iCs/>
                <w:lang w:val="it-IT"/>
              </w:rPr>
            </w:pPr>
            <w:r w:rsidRPr="008073FA">
              <w:rPr>
                <w:i/>
                <w:iCs/>
                <w:lang w:val="it-IT"/>
              </w:rPr>
              <w:t>- recepție la terminarea lucrărilor;</w:t>
            </w:r>
          </w:p>
          <w:p w14:paraId="12FEA32B" w14:textId="77777777" w:rsidR="005229D8" w:rsidRPr="008073FA" w:rsidRDefault="005229D8" w:rsidP="005229D8">
            <w:pPr>
              <w:suppressAutoHyphens/>
              <w:spacing w:line="276" w:lineRule="auto"/>
              <w:contextualSpacing/>
              <w:jc w:val="both"/>
              <w:rPr>
                <w:i/>
                <w:iCs/>
                <w:lang w:val="it-IT"/>
              </w:rPr>
            </w:pPr>
            <w:r w:rsidRPr="008073FA">
              <w:rPr>
                <w:i/>
                <w:iCs/>
                <w:lang w:val="it-IT"/>
              </w:rPr>
              <w:t>- Elaborarea Documentatiei conformă cu executia -As Built</w:t>
            </w:r>
          </w:p>
          <w:p w14:paraId="4DC65B32" w14:textId="77777777" w:rsidR="005229D8" w:rsidRPr="008073FA" w:rsidRDefault="005229D8" w:rsidP="005229D8">
            <w:pPr>
              <w:suppressAutoHyphens/>
              <w:spacing w:line="276" w:lineRule="auto"/>
              <w:contextualSpacing/>
              <w:jc w:val="both"/>
              <w:rPr>
                <w:i/>
                <w:iCs/>
                <w:lang w:val="it-IT"/>
              </w:rPr>
            </w:pPr>
            <w:r w:rsidRPr="008073FA">
              <w:rPr>
                <w:i/>
                <w:iCs/>
                <w:lang w:val="it-IT"/>
              </w:rPr>
              <w:t>- Plan de intretinere si reparatii (update)</w:t>
            </w:r>
          </w:p>
          <w:p w14:paraId="4DA57E4E" w14:textId="77777777" w:rsidR="005229D8" w:rsidRPr="008073FA" w:rsidRDefault="005229D8" w:rsidP="005229D8">
            <w:pPr>
              <w:suppressAutoHyphens/>
              <w:spacing w:line="276" w:lineRule="auto"/>
              <w:contextualSpacing/>
              <w:jc w:val="both"/>
              <w:rPr>
                <w:i/>
                <w:iCs/>
                <w:lang w:val="it-IT"/>
              </w:rPr>
            </w:pPr>
            <w:r w:rsidRPr="008073FA">
              <w:rPr>
                <w:i/>
                <w:iCs/>
                <w:lang w:val="it-IT"/>
              </w:rPr>
              <w:t>- recepție finala</w:t>
            </w:r>
          </w:p>
          <w:p w14:paraId="60EB5AD0" w14:textId="77777777" w:rsidR="005229D8" w:rsidRPr="008073FA" w:rsidRDefault="005229D8" w:rsidP="005229D8">
            <w:pPr>
              <w:suppressAutoHyphens/>
              <w:spacing w:line="276" w:lineRule="auto"/>
              <w:contextualSpacing/>
              <w:jc w:val="both"/>
              <w:rPr>
                <w:i/>
                <w:iCs/>
                <w:lang w:val="it-IT"/>
              </w:rPr>
            </w:pPr>
          </w:p>
          <w:p w14:paraId="4007CDA8" w14:textId="77777777" w:rsidR="005229D8" w:rsidRPr="008073FA" w:rsidRDefault="005229D8" w:rsidP="005229D8">
            <w:pPr>
              <w:suppressAutoHyphens/>
              <w:spacing w:line="276" w:lineRule="auto"/>
              <w:contextualSpacing/>
              <w:jc w:val="both"/>
              <w:rPr>
                <w:i/>
                <w:iCs/>
                <w:lang w:val="it-IT"/>
              </w:rPr>
            </w:pPr>
            <w:r w:rsidRPr="008073FA">
              <w:rPr>
                <w:i/>
                <w:iCs/>
                <w:lang w:val="it-IT"/>
              </w:rPr>
              <w:t>c) jaloanele/punctele critice care sunt considerate repere în determinarea termenelor ce asigură cuantificarea în timp a realizării activităților și a sub-activităților asumate la nivelul „Graficului de execuție al lucrărilor” ca document referință pentru întocmirea „Programului de execuție al lucrărilor”:</w:t>
            </w:r>
          </w:p>
          <w:p w14:paraId="066975AF" w14:textId="77777777" w:rsidR="005229D8" w:rsidRPr="008073FA" w:rsidRDefault="005229D8" w:rsidP="005229D8">
            <w:pPr>
              <w:suppressAutoHyphens/>
              <w:spacing w:line="276" w:lineRule="auto"/>
              <w:contextualSpacing/>
              <w:jc w:val="both"/>
              <w:rPr>
                <w:i/>
                <w:iCs/>
                <w:lang w:val="it-IT"/>
              </w:rPr>
            </w:pPr>
            <w:r w:rsidRPr="008073FA">
              <w:rPr>
                <w:i/>
                <w:iCs/>
                <w:lang w:val="it-IT"/>
              </w:rPr>
              <w:t>Jaloanele reprezinta  evenimente semnificative în desfășurarea proiectului, cum ar fi terminarea unei activități majore, și in general nu au durata in planul proiectului, ci doar delimitează activitățile principale ale viitorului contract (în cazul de față, executie) și sub-activitatile aferente, putând fi considerate scopuri atinse, iar activitatile fiind mijloace de atingere a acestor scopuri.</w:t>
            </w:r>
          </w:p>
          <w:p w14:paraId="16D47146" w14:textId="77777777" w:rsidR="005229D8" w:rsidRPr="008073FA" w:rsidRDefault="005229D8" w:rsidP="005229D8">
            <w:pPr>
              <w:suppressAutoHyphens/>
              <w:spacing w:line="276" w:lineRule="auto"/>
              <w:contextualSpacing/>
              <w:jc w:val="both"/>
              <w:rPr>
                <w:i/>
                <w:iCs/>
                <w:lang w:val="it-IT"/>
              </w:rPr>
            </w:pPr>
            <w:r w:rsidRPr="008073FA">
              <w:rPr>
                <w:i/>
                <w:iCs/>
                <w:lang w:val="it-IT"/>
              </w:rPr>
              <w:t>Jaloanele sunt definite de termenele din planificare, iar aceasta (planificarea) ar trebui să detalieze de o manieră coerentă: - durata și succesiunea principalelor activități, - jaloanele etapelor de execuție.</w:t>
            </w:r>
          </w:p>
          <w:p w14:paraId="6F0A54D5" w14:textId="77777777" w:rsidR="005229D8" w:rsidRPr="008073FA" w:rsidRDefault="005229D8" w:rsidP="005229D8">
            <w:pPr>
              <w:suppressAutoHyphens/>
              <w:spacing w:line="276" w:lineRule="auto"/>
              <w:contextualSpacing/>
              <w:jc w:val="both"/>
              <w:rPr>
                <w:i/>
                <w:iCs/>
                <w:lang w:val="it-IT"/>
              </w:rPr>
            </w:pPr>
            <w:r w:rsidRPr="008073FA">
              <w:rPr>
                <w:i/>
                <w:iCs/>
                <w:lang w:val="it-IT"/>
              </w:rPr>
              <w:t>In ceea ce privește etapele esentiale din faza de executie, acestea trebuie să respecte încadrarea în termenele de Contract;</w:t>
            </w:r>
          </w:p>
          <w:p w14:paraId="7A655760"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In cadrul acestei proceduri, se are în vedere verificarea de către comisia de evaluare a Autorității Contractante ca planificarea ofertantului  pentru activitățile si sub-activitatile viitorului contract de execuție să fie conformă cu cerințele stabilite de autoritatea contractantă, adică respectă ipotezele/premisele stabilite în documentația de atribuire cu privire la elemente cum ar fi: </w:t>
            </w:r>
          </w:p>
          <w:p w14:paraId="1CD60293" w14:textId="77777777" w:rsidR="005229D8" w:rsidRPr="008073FA" w:rsidRDefault="005229D8" w:rsidP="005229D8">
            <w:pPr>
              <w:numPr>
                <w:ilvl w:val="0"/>
                <w:numId w:val="36"/>
              </w:numPr>
              <w:suppressAutoHyphens/>
              <w:spacing w:after="160" w:line="276" w:lineRule="auto"/>
              <w:contextualSpacing/>
              <w:jc w:val="both"/>
              <w:rPr>
                <w:rFonts w:ascii="Calibri" w:eastAsia="Calibri" w:hAnsi="Calibri"/>
                <w:i/>
                <w:iCs/>
                <w:lang w:val="it-IT" w:eastAsia="x-none"/>
              </w:rPr>
            </w:pPr>
            <w:r w:rsidRPr="008073FA">
              <w:rPr>
                <w:rFonts w:ascii="Calibri" w:eastAsia="Calibri" w:hAnsi="Calibri"/>
                <w:i/>
                <w:iCs/>
                <w:lang w:val="it-IT" w:eastAsia="x-none"/>
              </w:rPr>
              <w:lastRenderedPageBreak/>
              <w:t xml:space="preserve">termenele de analiză; </w:t>
            </w:r>
          </w:p>
          <w:p w14:paraId="592D8F40" w14:textId="77777777" w:rsidR="005229D8" w:rsidRPr="008073FA" w:rsidRDefault="005229D8" w:rsidP="005229D8">
            <w:pPr>
              <w:numPr>
                <w:ilvl w:val="0"/>
                <w:numId w:val="36"/>
              </w:numPr>
              <w:suppressAutoHyphens/>
              <w:spacing w:after="160" w:line="276" w:lineRule="auto"/>
              <w:contextualSpacing/>
              <w:jc w:val="both"/>
              <w:rPr>
                <w:rFonts w:ascii="Calibri" w:eastAsia="Calibri" w:hAnsi="Calibri"/>
                <w:i/>
                <w:iCs/>
                <w:lang w:val="it-IT" w:eastAsia="x-none"/>
              </w:rPr>
            </w:pPr>
            <w:r w:rsidRPr="008073FA">
              <w:rPr>
                <w:rFonts w:ascii="Calibri" w:eastAsia="Calibri" w:hAnsi="Calibri"/>
                <w:i/>
                <w:iCs/>
                <w:lang w:val="it-IT" w:eastAsia="x-none"/>
              </w:rPr>
              <w:t xml:space="preserve">transmitere observații, respectiv aprobare a livrabilelor intermediare/finale care revin Autorității contractant; </w:t>
            </w:r>
          </w:p>
          <w:p w14:paraId="43DD7FE3" w14:textId="77777777" w:rsidR="005229D8" w:rsidRPr="008073FA" w:rsidRDefault="005229D8" w:rsidP="005229D8">
            <w:pPr>
              <w:numPr>
                <w:ilvl w:val="0"/>
                <w:numId w:val="36"/>
              </w:numPr>
              <w:suppressAutoHyphens/>
              <w:spacing w:after="160" w:line="276" w:lineRule="auto"/>
              <w:contextualSpacing/>
              <w:jc w:val="both"/>
              <w:rPr>
                <w:rFonts w:ascii="Calibri" w:eastAsia="Calibri" w:hAnsi="Calibri"/>
                <w:i/>
                <w:iCs/>
                <w:lang w:val="it-IT" w:eastAsia="x-none"/>
              </w:rPr>
            </w:pPr>
            <w:r w:rsidRPr="008073FA">
              <w:rPr>
                <w:rFonts w:ascii="Calibri" w:eastAsia="Calibri" w:hAnsi="Calibri"/>
                <w:i/>
                <w:iCs/>
                <w:lang w:val="it-IT" w:eastAsia="x-none"/>
              </w:rPr>
              <w:t xml:space="preserve">data de începere anticipată; </w:t>
            </w:r>
          </w:p>
          <w:p w14:paraId="2380080D" w14:textId="77777777" w:rsidR="005229D8" w:rsidRPr="008073FA" w:rsidRDefault="005229D8" w:rsidP="005229D8">
            <w:pPr>
              <w:numPr>
                <w:ilvl w:val="0"/>
                <w:numId w:val="36"/>
              </w:numPr>
              <w:suppressAutoHyphens/>
              <w:spacing w:after="160" w:line="276" w:lineRule="auto"/>
              <w:contextualSpacing/>
              <w:jc w:val="both"/>
              <w:rPr>
                <w:rFonts w:ascii="Calibri" w:eastAsia="Calibri" w:hAnsi="Calibri"/>
                <w:i/>
                <w:iCs/>
                <w:lang w:val="it-IT" w:eastAsia="x-none"/>
              </w:rPr>
            </w:pPr>
            <w:r w:rsidRPr="008073FA">
              <w:rPr>
                <w:rFonts w:ascii="Calibri" w:eastAsia="Calibri" w:hAnsi="Calibri"/>
                <w:i/>
                <w:iCs/>
                <w:lang w:val="it-IT" w:eastAsia="x-none"/>
              </w:rPr>
              <w:t>eventuale perioade de suspendare a execuției lucrărilor datorate condițiilor climatice nefavorabile prevăzute în documentația de atribuire etc.)</w:t>
            </w:r>
          </w:p>
          <w:p w14:paraId="01C1935F" w14:textId="77777777" w:rsidR="005229D8" w:rsidRPr="008073FA" w:rsidRDefault="005229D8" w:rsidP="005229D8">
            <w:pPr>
              <w:suppressAutoHyphens/>
              <w:spacing w:line="276" w:lineRule="auto"/>
              <w:contextualSpacing/>
              <w:jc w:val="both"/>
              <w:rPr>
                <w:i/>
                <w:iCs/>
                <w:lang w:val="it-IT"/>
              </w:rPr>
            </w:pPr>
          </w:p>
          <w:p w14:paraId="7A3F6346" w14:textId="77777777" w:rsidR="005229D8" w:rsidRPr="008073FA" w:rsidRDefault="005229D8" w:rsidP="005229D8">
            <w:pPr>
              <w:suppressAutoHyphens/>
              <w:spacing w:line="276" w:lineRule="auto"/>
              <w:contextualSpacing/>
              <w:jc w:val="both"/>
              <w:rPr>
                <w:i/>
                <w:iCs/>
                <w:lang w:val="it-IT"/>
              </w:rPr>
            </w:pPr>
            <w:r w:rsidRPr="008073FA">
              <w:rPr>
                <w:i/>
                <w:iCs/>
                <w:lang w:val="it-IT"/>
              </w:rPr>
              <w:t>Nivelul de detaliere al Graficului Gantt prezentat de ofertant trebuie să fie adecvat complexităţii lucrărilor. De exemplu, comisia de evaluare va tine cont de urmataorele aspecte:</w:t>
            </w:r>
          </w:p>
          <w:p w14:paraId="6CD0645F"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 sunt luate în considerare toate activitățile si sub-activitatile, respectiv jaloanele aferente; </w:t>
            </w:r>
          </w:p>
          <w:p w14:paraId="11A78FAB"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 se prezintă resursele alocate și productivitatea acestora; </w:t>
            </w:r>
          </w:p>
          <w:p w14:paraId="643F5009"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 este evidenţiat clar drumul critic; </w:t>
            </w:r>
          </w:p>
          <w:p w14:paraId="6BEE5CF5"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 se prezintă pentru fiecare activitate, data de început și cea de sfârșit; </w:t>
            </w:r>
          </w:p>
          <w:p w14:paraId="32710E3A"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 se arată legăturile logice între activități, adică o anume activitate nu poate fi realizată înaintea alteia( de ex.  instalațiile electrice nu pot fi efectuate inainte de constructii etc); </w:t>
            </w:r>
          </w:p>
          <w:p w14:paraId="363B9E36" w14:textId="77777777" w:rsidR="005229D8" w:rsidRPr="008073FA" w:rsidRDefault="005229D8" w:rsidP="005229D8">
            <w:pPr>
              <w:suppressAutoHyphens/>
              <w:spacing w:line="276" w:lineRule="auto"/>
              <w:contextualSpacing/>
              <w:jc w:val="both"/>
              <w:rPr>
                <w:i/>
                <w:iCs/>
                <w:lang w:val="it-IT"/>
              </w:rPr>
            </w:pPr>
            <w:r w:rsidRPr="008073FA">
              <w:rPr>
                <w:i/>
                <w:iCs/>
                <w:lang w:val="it-IT"/>
              </w:rPr>
              <w:t>- există o descriere narativă a programului de lucru furnizat, acoperind toate ipotezele importante - cum ar fi: perioadele de executie - considerând/reliefând perioada de iarnă - mai puțin productiva - dacă este cazul, aprobările altor terțe părți etc).</w:t>
            </w:r>
          </w:p>
          <w:p w14:paraId="03D8C75E" w14:textId="77777777" w:rsidR="00D8730C" w:rsidRPr="008073FA" w:rsidRDefault="00D8730C" w:rsidP="00D8730C">
            <w:pPr>
              <w:suppressAutoHyphens/>
              <w:spacing w:line="276" w:lineRule="auto"/>
              <w:contextualSpacing/>
              <w:jc w:val="both"/>
              <w:rPr>
                <w:i/>
                <w:iCs/>
                <w:lang w:val="it-IT"/>
              </w:rPr>
            </w:pPr>
            <w:r w:rsidRPr="008073FA">
              <w:rPr>
                <w:i/>
                <w:iCs/>
                <w:lang w:val="it-IT"/>
              </w:rPr>
              <w:t>Graficul Gantt ce urmeaza a fi introdus in oferta operatorului economic va fi evidentiat realist, adică se vor distinge clar</w:t>
            </w:r>
            <w:r>
              <w:rPr>
                <w:i/>
                <w:iCs/>
                <w:lang w:val="it-IT"/>
              </w:rPr>
              <w:t xml:space="preserve"> și</w:t>
            </w:r>
            <w:r w:rsidRPr="008073FA">
              <w:rPr>
                <w:i/>
                <w:iCs/>
                <w:lang w:val="it-IT"/>
              </w:rPr>
              <w:t xml:space="preserve"> următoarele aspecte:</w:t>
            </w:r>
          </w:p>
          <w:p w14:paraId="2E651E5E" w14:textId="77777777" w:rsidR="00D8730C" w:rsidRPr="008073FA" w:rsidRDefault="00D8730C" w:rsidP="00D8730C">
            <w:pPr>
              <w:suppressAutoHyphens/>
              <w:spacing w:line="276" w:lineRule="auto"/>
              <w:contextualSpacing/>
              <w:jc w:val="both"/>
              <w:rPr>
                <w:i/>
                <w:iCs/>
                <w:lang w:val="it-IT"/>
              </w:rPr>
            </w:pPr>
            <w:r w:rsidRPr="008073FA">
              <w:rPr>
                <w:i/>
                <w:iCs/>
                <w:lang w:val="it-IT"/>
              </w:rPr>
              <w:t>- calendarul prevăzut pentru mobilizarea Antreprenorului;</w:t>
            </w:r>
          </w:p>
          <w:p w14:paraId="784ABEFB" w14:textId="77777777" w:rsidR="00D8730C" w:rsidRPr="008073FA" w:rsidRDefault="00D8730C" w:rsidP="00D8730C">
            <w:pPr>
              <w:suppressAutoHyphens/>
              <w:spacing w:line="276" w:lineRule="auto"/>
              <w:contextualSpacing/>
              <w:jc w:val="both"/>
              <w:rPr>
                <w:i/>
                <w:iCs/>
                <w:lang w:val="it-IT"/>
              </w:rPr>
            </w:pPr>
            <w:r w:rsidRPr="008073FA">
              <w:rPr>
                <w:i/>
                <w:iCs/>
                <w:lang w:val="it-IT"/>
              </w:rPr>
              <w:t xml:space="preserve">- dacă perioadele de timp prevăzute pentru lucrările provizorii, măsuri de siguranță, management de trafic, etc. sunt suficiente și rezonabile în raport cu complexitatea activităților pe care le implică și resursele alocate; </w:t>
            </w:r>
          </w:p>
          <w:p w14:paraId="668DA448" w14:textId="77777777" w:rsidR="00D8730C" w:rsidRPr="008073FA" w:rsidRDefault="00D8730C" w:rsidP="00D8730C">
            <w:pPr>
              <w:suppressAutoHyphens/>
              <w:spacing w:line="276" w:lineRule="auto"/>
              <w:contextualSpacing/>
              <w:jc w:val="both"/>
              <w:rPr>
                <w:i/>
                <w:iCs/>
                <w:lang w:val="it-IT"/>
              </w:rPr>
            </w:pPr>
            <w:r w:rsidRPr="008073FA">
              <w:rPr>
                <w:i/>
                <w:iCs/>
                <w:lang w:val="it-IT"/>
              </w:rPr>
              <w:t xml:space="preserve">- interacțiunile din cadrul echipei Antreprenorului, respectiv a Antreprenorului cu Autoritatea Contractantă, precum și cu autoritățile care emit avize/autorizații sunt prevăzute într-un mod care asigură o revizuire adecvată tuturor livrabilelor (cu respectarea totodată a perioadelor minime de răspuns/trimitere observații din partea Beneficiarului prevăzute de autoritatea Contractantă în documentația de atribuire); </w:t>
            </w:r>
          </w:p>
          <w:p w14:paraId="62E45D28" w14:textId="77777777" w:rsidR="00D8730C" w:rsidRPr="008073FA" w:rsidRDefault="00D8730C" w:rsidP="00D8730C">
            <w:pPr>
              <w:suppressAutoHyphens/>
              <w:spacing w:line="276" w:lineRule="auto"/>
              <w:contextualSpacing/>
              <w:jc w:val="both"/>
              <w:rPr>
                <w:i/>
                <w:iCs/>
                <w:lang w:val="it-IT"/>
              </w:rPr>
            </w:pPr>
            <w:r w:rsidRPr="008073FA">
              <w:rPr>
                <w:i/>
                <w:iCs/>
                <w:lang w:val="it-IT"/>
              </w:rPr>
              <w:t xml:space="preserve">- durata și secvența propusă a activităților aferente implementării contractului sunt în concordanță cu buna practica și corelate cu resursele adecvate - tehnice si umane propuse; </w:t>
            </w:r>
          </w:p>
          <w:p w14:paraId="6DD6C329" w14:textId="77777777" w:rsidR="00D8730C" w:rsidRPr="008073FA" w:rsidRDefault="00D8730C" w:rsidP="00D8730C">
            <w:pPr>
              <w:suppressAutoHyphens/>
              <w:spacing w:line="276" w:lineRule="auto"/>
              <w:contextualSpacing/>
              <w:jc w:val="both"/>
              <w:rPr>
                <w:i/>
                <w:iCs/>
                <w:lang w:val="it-IT"/>
              </w:rPr>
            </w:pPr>
            <w:r w:rsidRPr="008073FA">
              <w:rPr>
                <w:i/>
                <w:iCs/>
                <w:lang w:val="it-IT"/>
              </w:rPr>
              <w:t>- jaloanele identificate sunt reprezentative/relevante pentru a reflecta că proiectul este "în grafic"</w:t>
            </w:r>
          </w:p>
          <w:p w14:paraId="6309F0DB" w14:textId="77777777" w:rsidR="00D8730C" w:rsidRPr="008073FA" w:rsidRDefault="00D8730C" w:rsidP="00D8730C">
            <w:pPr>
              <w:suppressAutoHyphens/>
              <w:spacing w:line="276" w:lineRule="auto"/>
              <w:contextualSpacing/>
              <w:jc w:val="both"/>
              <w:rPr>
                <w:i/>
                <w:iCs/>
                <w:lang w:val="it-IT"/>
              </w:rPr>
            </w:pPr>
            <w:r w:rsidRPr="008073FA">
              <w:rPr>
                <w:i/>
                <w:iCs/>
                <w:lang w:val="it-IT"/>
              </w:rPr>
              <w:t xml:space="preserve">- sunt prevăzute termene pentru testare, punere în funcțiune şi altele asemenea, acestea fiind realiste  tinand cont de termenele de aprobare etc; </w:t>
            </w:r>
          </w:p>
          <w:p w14:paraId="283160F9" w14:textId="77777777" w:rsidR="005229D8" w:rsidRPr="008073FA" w:rsidRDefault="005229D8" w:rsidP="005229D8">
            <w:pPr>
              <w:suppressAutoHyphens/>
              <w:spacing w:line="276" w:lineRule="auto"/>
              <w:contextualSpacing/>
              <w:jc w:val="both"/>
              <w:rPr>
                <w:i/>
                <w:iCs/>
                <w:lang w:val="it-IT"/>
              </w:rPr>
            </w:pPr>
          </w:p>
          <w:p w14:paraId="096204C1"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Autoritatea Contractantă are în vedere practic o analiză a drumului critic care urmăreste șirul de activități critice (a căror rezervă de timp este nulă), dependențe una de cealaltă (o activitate critică nu poate fi startată până ce nu au fost finalizate toate activitățile critice, al căror eveniment final corespunde cu evenimentul de start al acesteia, deci acestea nu se pot suprapune). </w:t>
            </w:r>
          </w:p>
          <w:p w14:paraId="105D20DB"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Timpul total minim necesar realizării tuturor activităților din drumul critic reprezintă durata de realizare a lucrării. </w:t>
            </w:r>
          </w:p>
          <w:p w14:paraId="5FC222A3" w14:textId="77777777" w:rsidR="005229D8" w:rsidRPr="008073FA" w:rsidRDefault="005229D8" w:rsidP="005229D8">
            <w:pPr>
              <w:suppressAutoHyphens/>
              <w:spacing w:line="276" w:lineRule="auto"/>
              <w:contextualSpacing/>
              <w:jc w:val="both"/>
              <w:rPr>
                <w:i/>
                <w:iCs/>
                <w:lang w:val="it-IT"/>
              </w:rPr>
            </w:pPr>
            <w:r w:rsidRPr="008073FA">
              <w:rPr>
                <w:i/>
                <w:iCs/>
                <w:lang w:val="it-IT"/>
              </w:rPr>
              <w:t>Activitățile care se află pe drumul critic trebuie clar evidențiate, deoarece trebuie să li se acorde o importanță sporită în realizarea Contractului, având în vedere că orice modificare intervenită în derularea activităților din drumul critic perturbă întregul Contract. Altfel spus, pentru fiecare activitate din graficul de execuție trebuie prevăzută o perioadă critică care trebuie respectată astfel încât execuția să fie finalizată în timpul prestabilit/estimat si impus prin Documentatia de atribuire de Autoritatea Contractanta.</w:t>
            </w:r>
          </w:p>
          <w:p w14:paraId="35B7A015" w14:textId="77777777" w:rsidR="005229D8" w:rsidRPr="008073FA" w:rsidRDefault="005229D8" w:rsidP="005229D8">
            <w:pPr>
              <w:suppressAutoHyphens/>
              <w:spacing w:line="276" w:lineRule="auto"/>
              <w:contextualSpacing/>
              <w:jc w:val="both"/>
              <w:rPr>
                <w:i/>
                <w:iCs/>
                <w:lang w:val="it-IT"/>
              </w:rPr>
            </w:pPr>
          </w:p>
          <w:p w14:paraId="7CBEDE01" w14:textId="77777777" w:rsidR="005229D8" w:rsidRPr="008073FA" w:rsidRDefault="005229D8" w:rsidP="005229D8">
            <w:pPr>
              <w:suppressAutoHyphens/>
              <w:spacing w:line="276" w:lineRule="auto"/>
              <w:contextualSpacing/>
              <w:jc w:val="both"/>
              <w:rPr>
                <w:i/>
                <w:iCs/>
                <w:lang w:val="it-IT"/>
              </w:rPr>
            </w:pPr>
            <w:r w:rsidRPr="008073FA">
              <w:rPr>
                <w:i/>
                <w:iCs/>
                <w:lang w:val="it-IT"/>
              </w:rPr>
              <w:lastRenderedPageBreak/>
              <w:t>d)abateri ce sunt considerate minore sau majore, in raport „Graficul general de realizare al obiectivului de investiții” si resursele alocate.</w:t>
            </w:r>
          </w:p>
          <w:p w14:paraId="4157C9A5" w14:textId="77777777" w:rsidR="005229D8" w:rsidRPr="008073FA" w:rsidRDefault="005229D8" w:rsidP="005229D8">
            <w:pPr>
              <w:suppressAutoHyphens/>
              <w:spacing w:line="276" w:lineRule="auto"/>
              <w:contextualSpacing/>
              <w:jc w:val="both"/>
              <w:rPr>
                <w:i/>
                <w:iCs/>
                <w:lang w:val="it-IT"/>
              </w:rPr>
            </w:pPr>
            <w:r w:rsidRPr="008073FA">
              <w:rPr>
                <w:i/>
                <w:iCs/>
                <w:lang w:val="it-IT"/>
              </w:rPr>
              <w:t>Abaterile minore pot fi considerate abateri/devieri de la premisele/ipotezele stabilite de autoritatea contractantă care nu ar avea un impact asupra graficului Gantt sau asupra logicii de planificare a ofertantului, putând fi economisite din accelerarea rezonabilă a altor activități.</w:t>
            </w:r>
          </w:p>
          <w:p w14:paraId="5FDF8D64"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De exemplu, dacă un ofertant consideră drept referinţă în elaborarea graficului durata obţinerii unei aprobări din partea autorității contractante un termen de 7 zile, spre deosebire de 10 zile, se înțelege că ofertantul poate corecta acest termen fără impact major asupra altora (raportându-ne la durata contractului in ansamblu). Astfel, nu se schimbă logica generală a planificării sale prin accelerarea ușoară a uneia dintre cele mai lungi activități. </w:t>
            </w:r>
          </w:p>
          <w:p w14:paraId="1E4015FD" w14:textId="77777777" w:rsidR="005229D8" w:rsidRPr="008073FA" w:rsidRDefault="005229D8" w:rsidP="005229D8">
            <w:pPr>
              <w:suppressAutoHyphens/>
              <w:spacing w:line="276" w:lineRule="auto"/>
              <w:contextualSpacing/>
              <w:jc w:val="both"/>
              <w:rPr>
                <w:i/>
                <w:iCs/>
                <w:lang w:val="it-IT"/>
              </w:rPr>
            </w:pPr>
            <w:r w:rsidRPr="008073FA">
              <w:rPr>
                <w:i/>
                <w:iCs/>
                <w:lang w:val="it-IT"/>
              </w:rPr>
              <w:t xml:space="preserve">În cazul în care asemenea eroare are o natură repetitivă, generând un cumul de erori, oferta va fi considerata neconformă, întrucât afectează întreaga durată de execuţie a Contractului, inclusiv drumul critic ceea ce ar conduce la o planificare superficiala a ofertelor depuse de operatorii economici, nicidecum in acord cu cerintele Autorității Contractante, aspect care ar pune in pericol termenul de finalizare al Lucrarilor; </w:t>
            </w:r>
          </w:p>
          <w:p w14:paraId="1B984A87" w14:textId="77777777" w:rsidR="005229D8" w:rsidRPr="008073FA" w:rsidRDefault="005229D8" w:rsidP="005229D8">
            <w:pPr>
              <w:suppressAutoHyphens/>
              <w:spacing w:line="276" w:lineRule="auto"/>
              <w:contextualSpacing/>
              <w:jc w:val="both"/>
              <w:rPr>
                <w:b/>
                <w:bCs/>
                <w:i/>
                <w:iCs/>
                <w:lang w:val="it-IT"/>
              </w:rPr>
            </w:pPr>
            <w:r w:rsidRPr="008073FA">
              <w:rPr>
                <w:b/>
                <w:bCs/>
                <w:i/>
                <w:iCs/>
                <w:lang w:val="it-IT"/>
              </w:rPr>
              <w:t>Graficele care nu includ toate activitățile și subactivitățile detaliate mai sus, inclusiv elementele prevazute in Caietul de Sarcini ca definite livrabile (</w:t>
            </w:r>
            <w:proofErr w:type="spellStart"/>
            <w:r w:rsidRPr="008073FA">
              <w:rPr>
                <w:b/>
                <w:bCs/>
                <w:i/>
                <w:iCs/>
                <w:lang w:val="fr-FR" w:eastAsia="ro-RO"/>
              </w:rPr>
              <w:t>Planul</w:t>
            </w:r>
            <w:proofErr w:type="spellEnd"/>
            <w:r w:rsidRPr="008073FA">
              <w:rPr>
                <w:b/>
                <w:bCs/>
                <w:i/>
                <w:iCs/>
                <w:lang w:val="fr-FR" w:eastAsia="ro-RO"/>
              </w:rPr>
              <w:t xml:space="preserve"> </w:t>
            </w:r>
            <w:proofErr w:type="spellStart"/>
            <w:r w:rsidRPr="008073FA">
              <w:rPr>
                <w:b/>
                <w:bCs/>
                <w:i/>
                <w:iCs/>
                <w:lang w:val="fr-FR" w:eastAsia="ro-RO"/>
              </w:rPr>
              <w:t>calitații</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w:t>
            </w:r>
            <w:proofErr w:type="spellStart"/>
            <w:r w:rsidRPr="008073FA">
              <w:rPr>
                <w:b/>
                <w:bCs/>
                <w:i/>
                <w:iCs/>
                <w:lang w:val="fr-FR" w:eastAsia="ro-RO"/>
              </w:rPr>
              <w:t>general</w:t>
            </w:r>
            <w:proofErr w:type="spellEnd"/>
            <w:r w:rsidRPr="008073FA">
              <w:rPr>
                <w:b/>
                <w:bCs/>
                <w:i/>
                <w:iCs/>
                <w:lang w:val="fr-FR" w:eastAsia="ro-RO"/>
              </w:rPr>
              <w:t xml:space="preserve"> de control al </w:t>
            </w:r>
            <w:proofErr w:type="spellStart"/>
            <w:r w:rsidRPr="008073FA">
              <w:rPr>
                <w:b/>
                <w:bCs/>
                <w:i/>
                <w:iCs/>
                <w:lang w:val="fr-FR" w:eastAsia="ro-RO"/>
              </w:rPr>
              <w:t>calitații</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de </w:t>
            </w:r>
            <w:proofErr w:type="spellStart"/>
            <w:r w:rsidRPr="008073FA">
              <w:rPr>
                <w:b/>
                <w:bCs/>
                <w:i/>
                <w:iCs/>
                <w:lang w:val="fr-FR" w:eastAsia="ro-RO"/>
              </w:rPr>
              <w:t>securitate</w:t>
            </w:r>
            <w:proofErr w:type="spellEnd"/>
            <w:r w:rsidRPr="008073FA">
              <w:rPr>
                <w:b/>
                <w:bCs/>
                <w:i/>
                <w:iCs/>
                <w:lang w:val="fr-FR" w:eastAsia="ro-RO"/>
              </w:rPr>
              <w:t xml:space="preserve"> </w:t>
            </w:r>
            <w:proofErr w:type="spellStart"/>
            <w:r w:rsidRPr="008073FA">
              <w:rPr>
                <w:b/>
                <w:bCs/>
                <w:i/>
                <w:iCs/>
                <w:lang w:val="fr-FR" w:eastAsia="ro-RO"/>
              </w:rPr>
              <w:t>și</w:t>
            </w:r>
            <w:proofErr w:type="spellEnd"/>
            <w:r w:rsidRPr="008073FA">
              <w:rPr>
                <w:b/>
                <w:bCs/>
                <w:i/>
                <w:iCs/>
                <w:lang w:val="fr-FR" w:eastAsia="ro-RO"/>
              </w:rPr>
              <w:t xml:space="preserve"> </w:t>
            </w:r>
            <w:proofErr w:type="spellStart"/>
            <w:r w:rsidRPr="008073FA">
              <w:rPr>
                <w:b/>
                <w:bCs/>
                <w:i/>
                <w:iCs/>
                <w:lang w:val="fr-FR" w:eastAsia="ro-RO"/>
              </w:rPr>
              <w:t>coordonare</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de </w:t>
            </w:r>
            <w:proofErr w:type="spellStart"/>
            <w:r w:rsidRPr="008073FA">
              <w:rPr>
                <w:b/>
                <w:bCs/>
                <w:i/>
                <w:iCs/>
                <w:lang w:val="fr-FR" w:eastAsia="ro-RO"/>
              </w:rPr>
              <w:t>securitate</w:t>
            </w:r>
            <w:proofErr w:type="spellEnd"/>
            <w:r w:rsidRPr="008073FA">
              <w:rPr>
                <w:b/>
                <w:bCs/>
                <w:i/>
                <w:iCs/>
                <w:lang w:val="fr-FR" w:eastAsia="ro-RO"/>
              </w:rPr>
              <w:t xml:space="preserve"> </w:t>
            </w:r>
            <w:proofErr w:type="spellStart"/>
            <w:r w:rsidRPr="008073FA">
              <w:rPr>
                <w:b/>
                <w:bCs/>
                <w:i/>
                <w:iCs/>
                <w:lang w:val="fr-FR" w:eastAsia="ro-RO"/>
              </w:rPr>
              <w:t>și</w:t>
            </w:r>
            <w:proofErr w:type="spellEnd"/>
            <w:r w:rsidRPr="008073FA">
              <w:rPr>
                <w:b/>
                <w:bCs/>
                <w:i/>
                <w:iCs/>
                <w:lang w:val="fr-FR" w:eastAsia="ro-RO"/>
              </w:rPr>
              <w:t xml:space="preserve"> </w:t>
            </w:r>
            <w:proofErr w:type="spellStart"/>
            <w:r w:rsidRPr="008073FA">
              <w:rPr>
                <w:b/>
                <w:bCs/>
                <w:i/>
                <w:iCs/>
                <w:lang w:val="fr-FR" w:eastAsia="ro-RO"/>
              </w:rPr>
              <w:t>sanatate</w:t>
            </w:r>
            <w:proofErr w:type="spellEnd"/>
            <w:r w:rsidRPr="008073FA">
              <w:rPr>
                <w:b/>
                <w:bCs/>
                <w:i/>
                <w:iCs/>
                <w:lang w:val="fr-FR" w:eastAsia="ro-RO"/>
              </w:rPr>
              <w:t xml:space="preserve"> al </w:t>
            </w:r>
            <w:proofErr w:type="spellStart"/>
            <w:r w:rsidRPr="008073FA">
              <w:rPr>
                <w:b/>
                <w:bCs/>
                <w:i/>
                <w:iCs/>
                <w:lang w:val="fr-FR" w:eastAsia="ro-RO"/>
              </w:rPr>
              <w:t>Contractantului</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de management al </w:t>
            </w:r>
            <w:proofErr w:type="spellStart"/>
            <w:r w:rsidRPr="008073FA">
              <w:rPr>
                <w:b/>
                <w:bCs/>
                <w:i/>
                <w:iCs/>
                <w:lang w:val="fr-FR" w:eastAsia="ro-RO"/>
              </w:rPr>
              <w:t>traficului</w:t>
            </w:r>
            <w:proofErr w:type="spellEnd"/>
            <w:r w:rsidRPr="008073FA">
              <w:rPr>
                <w:b/>
                <w:bCs/>
                <w:i/>
                <w:iCs/>
                <w:lang w:val="fr-FR" w:eastAsia="ro-RO"/>
              </w:rPr>
              <w:t xml:space="preserve"> </w:t>
            </w:r>
            <w:proofErr w:type="spellStart"/>
            <w:r w:rsidRPr="008073FA">
              <w:rPr>
                <w:b/>
                <w:bCs/>
                <w:i/>
                <w:iCs/>
                <w:lang w:val="fr-FR" w:eastAsia="ro-RO"/>
              </w:rPr>
              <w:t>rutier</w:t>
            </w:r>
            <w:proofErr w:type="spellEnd"/>
            <w:r w:rsidRPr="008073FA">
              <w:rPr>
                <w:b/>
                <w:bCs/>
                <w:i/>
                <w:iCs/>
                <w:lang w:val="fr-FR" w:eastAsia="ro-RO"/>
              </w:rPr>
              <w:t xml:space="preserve"> </w:t>
            </w:r>
            <w:proofErr w:type="spellStart"/>
            <w:r w:rsidRPr="008073FA">
              <w:rPr>
                <w:b/>
                <w:bCs/>
                <w:i/>
                <w:iCs/>
                <w:lang w:val="fr-FR" w:eastAsia="ro-RO"/>
              </w:rPr>
              <w:t>pe</w:t>
            </w:r>
            <w:proofErr w:type="spellEnd"/>
            <w:r w:rsidRPr="008073FA">
              <w:rPr>
                <w:b/>
                <w:bCs/>
                <w:i/>
                <w:iCs/>
                <w:lang w:val="fr-FR" w:eastAsia="ro-RO"/>
              </w:rPr>
              <w:t xml:space="preserve"> </w:t>
            </w:r>
            <w:proofErr w:type="spellStart"/>
            <w:r w:rsidRPr="008073FA">
              <w:rPr>
                <w:b/>
                <w:bCs/>
                <w:i/>
                <w:iCs/>
                <w:lang w:val="fr-FR" w:eastAsia="ro-RO"/>
              </w:rPr>
              <w:t>parcursul</w:t>
            </w:r>
            <w:proofErr w:type="spellEnd"/>
            <w:r w:rsidRPr="008073FA">
              <w:rPr>
                <w:b/>
                <w:bCs/>
                <w:i/>
                <w:iCs/>
                <w:lang w:val="fr-FR" w:eastAsia="ro-RO"/>
              </w:rPr>
              <w:t xml:space="preserve"> </w:t>
            </w:r>
            <w:proofErr w:type="spellStart"/>
            <w:r w:rsidRPr="008073FA">
              <w:rPr>
                <w:b/>
                <w:bCs/>
                <w:i/>
                <w:iCs/>
                <w:lang w:val="fr-FR" w:eastAsia="ro-RO"/>
              </w:rPr>
              <w:t>execuției</w:t>
            </w:r>
            <w:proofErr w:type="spellEnd"/>
            <w:r w:rsidRPr="008073FA">
              <w:rPr>
                <w:b/>
                <w:bCs/>
                <w:i/>
                <w:iCs/>
                <w:lang w:val="fr-FR" w:eastAsia="ro-RO"/>
              </w:rPr>
              <w:t xml:space="preserve"> </w:t>
            </w:r>
            <w:proofErr w:type="spellStart"/>
            <w:r w:rsidRPr="008073FA">
              <w:rPr>
                <w:b/>
                <w:bCs/>
                <w:i/>
                <w:iCs/>
                <w:lang w:val="fr-FR" w:eastAsia="ro-RO"/>
              </w:rPr>
              <w:t>elaborat</w:t>
            </w:r>
            <w:proofErr w:type="spellEnd"/>
            <w:r w:rsidRPr="008073FA">
              <w:rPr>
                <w:b/>
                <w:bCs/>
                <w:i/>
                <w:iCs/>
                <w:lang w:val="fr-FR" w:eastAsia="ro-RO"/>
              </w:rPr>
              <w:t xml:space="preserve"> </w:t>
            </w:r>
            <w:proofErr w:type="spellStart"/>
            <w:r w:rsidRPr="008073FA">
              <w:rPr>
                <w:b/>
                <w:bCs/>
                <w:i/>
                <w:iCs/>
                <w:lang w:val="fr-FR" w:eastAsia="ro-RO"/>
              </w:rPr>
              <w:t>conform</w:t>
            </w:r>
            <w:proofErr w:type="spellEnd"/>
            <w:r w:rsidRPr="008073FA">
              <w:rPr>
                <w:b/>
                <w:bCs/>
                <w:i/>
                <w:iCs/>
                <w:lang w:val="fr-FR" w:eastAsia="ro-RO"/>
              </w:rPr>
              <w:t xml:space="preserve"> </w:t>
            </w:r>
            <w:proofErr w:type="spellStart"/>
            <w:r w:rsidRPr="008073FA">
              <w:rPr>
                <w:b/>
                <w:bCs/>
                <w:i/>
                <w:iCs/>
                <w:lang w:val="fr-FR" w:eastAsia="ro-RO"/>
              </w:rPr>
              <w:t>Normelor</w:t>
            </w:r>
            <w:proofErr w:type="spellEnd"/>
            <w:r w:rsidRPr="008073FA">
              <w:rPr>
                <w:b/>
                <w:bCs/>
                <w:i/>
                <w:iCs/>
                <w:lang w:val="fr-FR" w:eastAsia="ro-RO"/>
              </w:rPr>
              <w:t xml:space="preserve"> </w:t>
            </w:r>
            <w:proofErr w:type="spellStart"/>
            <w:r w:rsidRPr="008073FA">
              <w:rPr>
                <w:b/>
                <w:bCs/>
                <w:i/>
                <w:iCs/>
                <w:lang w:val="fr-FR" w:eastAsia="ro-RO"/>
              </w:rPr>
              <w:t>Metodologice</w:t>
            </w:r>
            <w:proofErr w:type="spellEnd"/>
            <w:r w:rsidRPr="008073FA">
              <w:rPr>
                <w:b/>
                <w:bCs/>
                <w:i/>
                <w:iCs/>
                <w:lang w:val="fr-FR" w:eastAsia="ro-RO"/>
              </w:rPr>
              <w:t xml:space="preserve"> in </w:t>
            </w:r>
            <w:proofErr w:type="spellStart"/>
            <w:r w:rsidRPr="008073FA">
              <w:rPr>
                <w:b/>
                <w:bCs/>
                <w:i/>
                <w:iCs/>
                <w:lang w:val="fr-FR" w:eastAsia="ro-RO"/>
              </w:rPr>
              <w:t>vigoare</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de management al </w:t>
            </w:r>
            <w:proofErr w:type="spellStart"/>
            <w:r w:rsidRPr="008073FA">
              <w:rPr>
                <w:b/>
                <w:bCs/>
                <w:i/>
                <w:iCs/>
                <w:lang w:val="fr-FR" w:eastAsia="ro-RO"/>
              </w:rPr>
              <w:t>mediului</w:t>
            </w:r>
            <w:proofErr w:type="spellEnd"/>
            <w:r w:rsidRPr="008073FA">
              <w:rPr>
                <w:b/>
                <w:bCs/>
                <w:i/>
                <w:iCs/>
                <w:lang w:val="fr-FR" w:eastAsia="ro-RO"/>
              </w:rPr>
              <w:t xml:space="preserve">, </w:t>
            </w:r>
            <w:proofErr w:type="spellStart"/>
            <w:r w:rsidRPr="008073FA">
              <w:rPr>
                <w:b/>
                <w:bCs/>
                <w:i/>
                <w:iCs/>
                <w:lang w:val="fr-FR" w:eastAsia="ro-RO"/>
              </w:rPr>
              <w:t>Planul</w:t>
            </w:r>
            <w:proofErr w:type="spellEnd"/>
            <w:r w:rsidRPr="008073FA">
              <w:rPr>
                <w:b/>
                <w:bCs/>
                <w:i/>
                <w:iCs/>
                <w:lang w:val="fr-FR" w:eastAsia="ro-RO"/>
              </w:rPr>
              <w:t xml:space="preserve"> de </w:t>
            </w:r>
            <w:proofErr w:type="spellStart"/>
            <w:r w:rsidRPr="008073FA">
              <w:rPr>
                <w:b/>
                <w:bCs/>
                <w:i/>
                <w:iCs/>
                <w:lang w:val="fr-FR" w:eastAsia="ro-RO"/>
              </w:rPr>
              <w:t>paza</w:t>
            </w:r>
            <w:proofErr w:type="spellEnd"/>
            <w:r w:rsidRPr="008073FA">
              <w:rPr>
                <w:b/>
                <w:bCs/>
                <w:i/>
                <w:iCs/>
                <w:lang w:val="fr-FR" w:eastAsia="ro-RO"/>
              </w:rPr>
              <w:t>)</w:t>
            </w:r>
            <w:r w:rsidRPr="008073FA">
              <w:rPr>
                <w:b/>
                <w:bCs/>
                <w:i/>
                <w:iCs/>
                <w:lang w:val="it-IT"/>
              </w:rPr>
              <w:t>, în mod clar, nu pot fi considerate conforme, având în vedere cerintele Beneficiarului - asadar cumularea eventual a unor livrabile este acceptată (tinand cont de termenele initial prevazute in Caietul de Sarcini, însă excluderea acestora nu poate fi acceptată și se va defini ca fiind abatere majoră.</w:t>
            </w:r>
          </w:p>
          <w:p w14:paraId="3C6FD8B0" w14:textId="77777777" w:rsidR="005229D8" w:rsidRPr="008073FA" w:rsidRDefault="005229D8" w:rsidP="005229D8">
            <w:pPr>
              <w:suppressAutoHyphens/>
              <w:spacing w:line="276" w:lineRule="auto"/>
              <w:contextualSpacing/>
              <w:jc w:val="both"/>
              <w:rPr>
                <w:i/>
                <w:iCs/>
                <w:lang w:val="it-IT"/>
              </w:rPr>
            </w:pPr>
            <w:r w:rsidRPr="008073FA">
              <w:rPr>
                <w:i/>
                <w:iCs/>
                <w:lang w:val="it-IT"/>
              </w:rPr>
              <w:t>Practic Autoritatea a definit doua mari termene - termen de finalizare al Executiei, și termenul de garantie al Lucrarilor.</w:t>
            </w:r>
          </w:p>
          <w:p w14:paraId="3B56110E" w14:textId="29D8A1E5" w:rsidR="005229D8" w:rsidRPr="009B7265" w:rsidRDefault="005229D8" w:rsidP="005229D8">
            <w:pPr>
              <w:contextualSpacing/>
              <w:jc w:val="both"/>
              <w:rPr>
                <w:rFonts w:ascii="Times New Roman" w:hAnsi="Times New Roman" w:cs="Times New Roman"/>
                <w:b/>
                <w:sz w:val="20"/>
                <w:szCs w:val="20"/>
              </w:rPr>
            </w:pPr>
            <w:r w:rsidRPr="008073FA">
              <w:rPr>
                <w:i/>
                <w:iCs/>
                <w:lang w:val="it-IT"/>
              </w:rPr>
              <w:t>Pe de alta parte etapele intermediare, sub-activitatile planificate iresponsabil pot afecta deopotriva buna implementare, drept pentru care o analiza a devierilor de la planificarea proiectată/gandită de Autoritatea Contractantă este una responsabilă, în acord cu obiectivul de atins prin contractul licitat</w:t>
            </w:r>
          </w:p>
        </w:tc>
      </w:tr>
      <w:tr w:rsidR="009B7265" w:rsidRPr="009B7265" w14:paraId="5E849763" w14:textId="77777777" w:rsidTr="005229D8">
        <w:trPr>
          <w:gridAfter w:val="1"/>
          <w:wAfter w:w="139" w:type="dxa"/>
        </w:trPr>
        <w:tc>
          <w:tcPr>
            <w:tcW w:w="9715" w:type="dxa"/>
          </w:tcPr>
          <w:p w14:paraId="570DB5B9" w14:textId="77777777" w:rsidR="00BD3792" w:rsidRPr="009B7265" w:rsidRDefault="00F36E2C"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lastRenderedPageBreak/>
              <w:t>III.1.6) Depozite valorice si garanții solicitate:</w:t>
            </w:r>
          </w:p>
          <w:p w14:paraId="44015E76" w14:textId="77777777" w:rsidR="00BD3792" w:rsidRPr="009B7265" w:rsidRDefault="007F3CA1"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III.1.6.a) Garanție de participare:</w:t>
            </w:r>
          </w:p>
          <w:p w14:paraId="3AC8480A" w14:textId="00A8FC6C"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eastAsia="ar-SA"/>
              </w:rPr>
              <w:t>Cuantumul garantiei de participare</w:t>
            </w:r>
            <w:r w:rsidRPr="007C1024">
              <w:rPr>
                <w:rFonts w:ascii="Times New Roman" w:eastAsia="Calibri" w:hAnsi="Times New Roman" w:cs="Times New Roman"/>
                <w:bCs/>
                <w:sz w:val="20"/>
                <w:szCs w:val="20"/>
                <w:lang w:eastAsia="ar-SA"/>
              </w:rPr>
              <w:t xml:space="preserve">: 1% din valoarea estimată, respectiv </w:t>
            </w:r>
            <w:r w:rsidR="004B09FD">
              <w:rPr>
                <w:rFonts w:ascii="Times New Roman" w:eastAsia="Calibri" w:hAnsi="Times New Roman" w:cs="Times New Roman"/>
                <w:bCs/>
                <w:sz w:val="20"/>
                <w:szCs w:val="20"/>
                <w:lang w:eastAsia="ar-SA"/>
              </w:rPr>
              <w:t>4506</w:t>
            </w:r>
            <w:r w:rsidR="005714ED">
              <w:rPr>
                <w:rFonts w:ascii="Times New Roman" w:eastAsia="Calibri" w:hAnsi="Times New Roman" w:cs="Times New Roman"/>
                <w:bCs/>
                <w:sz w:val="20"/>
                <w:szCs w:val="20"/>
                <w:lang w:eastAsia="ar-SA"/>
              </w:rPr>
              <w:t>5.27</w:t>
            </w:r>
            <w:r w:rsidRPr="007C1024">
              <w:rPr>
                <w:rFonts w:ascii="Times New Roman" w:eastAsia="Calibri" w:hAnsi="Times New Roman" w:cs="Times New Roman"/>
                <w:bCs/>
                <w:sz w:val="20"/>
                <w:szCs w:val="20"/>
                <w:lang w:eastAsia="ar-SA"/>
              </w:rPr>
              <w:t xml:space="preserve"> lei</w:t>
            </w:r>
          </w:p>
          <w:p w14:paraId="30807D21" w14:textId="77777777"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proofErr w:type="spellStart"/>
            <w:r w:rsidRPr="009B7265">
              <w:rPr>
                <w:rFonts w:ascii="Times New Roman" w:eastAsia="Calibri" w:hAnsi="Times New Roman" w:cs="Times New Roman"/>
                <w:bCs/>
                <w:sz w:val="20"/>
                <w:szCs w:val="20"/>
                <w:lang w:val="en-GB" w:eastAsia="ar-SA"/>
              </w:rPr>
              <w:t>Perioada</w:t>
            </w:r>
            <w:proofErr w:type="spellEnd"/>
            <w:r w:rsidRPr="009B7265">
              <w:rPr>
                <w:rFonts w:ascii="Times New Roman" w:eastAsia="Calibri" w:hAnsi="Times New Roman" w:cs="Times New Roman"/>
                <w:bCs/>
                <w:sz w:val="20"/>
                <w:szCs w:val="20"/>
                <w:lang w:val="en-GB" w:eastAsia="ar-SA"/>
              </w:rPr>
              <w:t xml:space="preserve"> de </w:t>
            </w:r>
            <w:proofErr w:type="spellStart"/>
            <w:r w:rsidRPr="009B7265">
              <w:rPr>
                <w:rFonts w:ascii="Times New Roman" w:eastAsia="Calibri" w:hAnsi="Times New Roman" w:cs="Times New Roman"/>
                <w:bCs/>
                <w:sz w:val="20"/>
                <w:szCs w:val="20"/>
                <w:lang w:val="en-GB" w:eastAsia="ar-SA"/>
              </w:rPr>
              <w:t>valabilitate</w:t>
            </w:r>
            <w:proofErr w:type="spellEnd"/>
            <w:r w:rsidRPr="009B7265">
              <w:rPr>
                <w:rFonts w:ascii="Times New Roman" w:eastAsia="Calibri" w:hAnsi="Times New Roman" w:cs="Times New Roman"/>
                <w:bCs/>
                <w:sz w:val="20"/>
                <w:szCs w:val="20"/>
                <w:lang w:val="en-GB" w:eastAsia="ar-SA"/>
              </w:rPr>
              <w:t xml:space="preserve"> care </w:t>
            </w:r>
            <w:proofErr w:type="spellStart"/>
            <w:r w:rsidRPr="009B7265">
              <w:rPr>
                <w:rFonts w:ascii="Times New Roman" w:eastAsia="Calibri" w:hAnsi="Times New Roman" w:cs="Times New Roman"/>
                <w:bCs/>
                <w:sz w:val="20"/>
                <w:szCs w:val="20"/>
                <w:lang w:val="en-GB" w:eastAsia="ar-SA"/>
              </w:rPr>
              <w:t>va</w:t>
            </w:r>
            <w:proofErr w:type="spellEnd"/>
            <w:r w:rsidRPr="009B7265">
              <w:rPr>
                <w:rFonts w:ascii="Times New Roman" w:eastAsia="Calibri" w:hAnsi="Times New Roman" w:cs="Times New Roman"/>
                <w:bCs/>
                <w:sz w:val="20"/>
                <w:szCs w:val="20"/>
                <w:lang w:val="en-GB" w:eastAsia="ar-SA"/>
              </w:rPr>
              <w:t xml:space="preserve"> fi </w:t>
            </w:r>
            <w:proofErr w:type="spellStart"/>
            <w:r w:rsidRPr="009B7265">
              <w:rPr>
                <w:rFonts w:ascii="Times New Roman" w:eastAsia="Calibri" w:hAnsi="Times New Roman" w:cs="Times New Roman"/>
                <w:bCs/>
                <w:sz w:val="20"/>
                <w:szCs w:val="20"/>
                <w:lang w:val="en-GB" w:eastAsia="ar-SA"/>
              </w:rPr>
              <w:t>cel</w:t>
            </w:r>
            <w:proofErr w:type="spell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puţin</w:t>
            </w:r>
            <w:proofErr w:type="spell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egală</w:t>
            </w:r>
            <w:proofErr w:type="spellEnd"/>
            <w:r w:rsidRPr="009B7265">
              <w:rPr>
                <w:rFonts w:ascii="Times New Roman" w:eastAsia="Calibri" w:hAnsi="Times New Roman" w:cs="Times New Roman"/>
                <w:bCs/>
                <w:sz w:val="20"/>
                <w:szCs w:val="20"/>
                <w:lang w:val="en-GB" w:eastAsia="ar-SA"/>
              </w:rPr>
              <w:t xml:space="preserve"> cu </w:t>
            </w:r>
            <w:proofErr w:type="spellStart"/>
            <w:r w:rsidRPr="009B7265">
              <w:rPr>
                <w:rFonts w:ascii="Times New Roman" w:eastAsia="Calibri" w:hAnsi="Times New Roman" w:cs="Times New Roman"/>
                <w:bCs/>
                <w:sz w:val="20"/>
                <w:szCs w:val="20"/>
                <w:lang w:val="en-GB" w:eastAsia="ar-SA"/>
              </w:rPr>
              <w:t>perioada</w:t>
            </w:r>
            <w:proofErr w:type="spell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minimă</w:t>
            </w:r>
            <w:proofErr w:type="spellEnd"/>
            <w:r w:rsidRPr="009B7265">
              <w:rPr>
                <w:rFonts w:ascii="Times New Roman" w:eastAsia="Calibri" w:hAnsi="Times New Roman" w:cs="Times New Roman"/>
                <w:bCs/>
                <w:sz w:val="20"/>
                <w:szCs w:val="20"/>
                <w:lang w:val="en-GB" w:eastAsia="ar-SA"/>
              </w:rPr>
              <w:t xml:space="preserve"> de </w:t>
            </w:r>
            <w:proofErr w:type="spellStart"/>
            <w:r w:rsidRPr="009B7265">
              <w:rPr>
                <w:rFonts w:ascii="Times New Roman" w:eastAsia="Calibri" w:hAnsi="Times New Roman" w:cs="Times New Roman"/>
                <w:bCs/>
                <w:sz w:val="20"/>
                <w:szCs w:val="20"/>
                <w:lang w:val="en-GB" w:eastAsia="ar-SA"/>
              </w:rPr>
              <w:t>valabilitate</w:t>
            </w:r>
            <w:proofErr w:type="spellEnd"/>
            <w:r w:rsidRPr="009B7265">
              <w:rPr>
                <w:rFonts w:ascii="Times New Roman" w:eastAsia="Calibri" w:hAnsi="Times New Roman" w:cs="Times New Roman"/>
                <w:bCs/>
                <w:sz w:val="20"/>
                <w:szCs w:val="20"/>
                <w:lang w:val="en-GB" w:eastAsia="ar-SA"/>
              </w:rPr>
              <w:t xml:space="preserve"> a </w:t>
            </w:r>
            <w:proofErr w:type="spellStart"/>
            <w:r w:rsidRPr="009B7265">
              <w:rPr>
                <w:rFonts w:ascii="Times New Roman" w:eastAsia="Calibri" w:hAnsi="Times New Roman" w:cs="Times New Roman"/>
                <w:bCs/>
                <w:sz w:val="20"/>
                <w:szCs w:val="20"/>
                <w:lang w:val="en-GB" w:eastAsia="ar-SA"/>
              </w:rPr>
              <w:t>ofertei</w:t>
            </w:r>
            <w:proofErr w:type="spellEnd"/>
          </w:p>
          <w:p w14:paraId="4F8EEB6B" w14:textId="77777777" w:rsidR="00AF4F3A" w:rsidRPr="009B7265" w:rsidRDefault="00212525" w:rsidP="00DC6CE5">
            <w:pPr>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eastAsia="ar-SA"/>
              </w:rPr>
              <w:t>Garantia de participare se constituie prin</w:t>
            </w:r>
            <w:r w:rsidR="00AF4F3A" w:rsidRPr="009B7265">
              <w:rPr>
                <w:rFonts w:ascii="Times New Roman" w:eastAsia="Calibri" w:hAnsi="Times New Roman" w:cs="Times New Roman"/>
                <w:bCs/>
                <w:sz w:val="20"/>
                <w:szCs w:val="20"/>
                <w:lang w:eastAsia="ar-SA"/>
              </w:rPr>
              <w:t>:</w:t>
            </w:r>
          </w:p>
          <w:p w14:paraId="0E177FCC" w14:textId="32514B6E" w:rsidR="00AF4F3A" w:rsidRPr="009B7265" w:rsidRDefault="00AF4F3A" w:rsidP="00DC6CE5">
            <w:pPr>
              <w:contextualSpacing/>
              <w:jc w:val="both"/>
              <w:rPr>
                <w:rFonts w:ascii="Times New Roman" w:eastAsia="Calibri" w:hAnsi="Times New Roman" w:cs="Times New Roman"/>
                <w:bCs/>
                <w:sz w:val="20"/>
                <w:szCs w:val="20"/>
                <w:lang w:val="en-GB" w:eastAsia="ar-SA"/>
              </w:rPr>
            </w:pPr>
            <w:r w:rsidRPr="009B7265">
              <w:rPr>
                <w:rFonts w:ascii="Times New Roman" w:eastAsia="Calibri" w:hAnsi="Times New Roman" w:cs="Times New Roman"/>
                <w:bCs/>
                <w:sz w:val="20"/>
                <w:szCs w:val="20"/>
                <w:lang w:eastAsia="ar-SA"/>
              </w:rPr>
              <w:t>a)</w:t>
            </w:r>
            <w:r w:rsidR="00212525" w:rsidRPr="009B7265">
              <w:rPr>
                <w:rFonts w:ascii="Times New Roman" w:eastAsia="Calibri" w:hAnsi="Times New Roman" w:cs="Times New Roman"/>
                <w:bCs/>
                <w:sz w:val="20"/>
                <w:szCs w:val="20"/>
                <w:lang w:eastAsia="ar-SA"/>
              </w:rPr>
              <w:t xml:space="preserve"> virament bancar in contul </w:t>
            </w:r>
            <w:r w:rsidR="00212525" w:rsidRPr="00C05AA3">
              <w:rPr>
                <w:rFonts w:ascii="Times New Roman" w:eastAsia="Times New Roman" w:hAnsi="Times New Roman" w:cs="Times New Roman"/>
                <w:bCs/>
                <w:sz w:val="20"/>
                <w:szCs w:val="20"/>
                <w:lang w:eastAsia="ar-SA"/>
              </w:rPr>
              <w:t>RO</w:t>
            </w:r>
            <w:r w:rsidR="0078399D" w:rsidRPr="00C05AA3">
              <w:rPr>
                <w:rFonts w:ascii="Times New Roman" w:eastAsia="Times New Roman" w:hAnsi="Times New Roman" w:cs="Times New Roman"/>
                <w:bCs/>
                <w:sz w:val="20"/>
                <w:szCs w:val="20"/>
                <w:lang w:eastAsia="ar-SA"/>
              </w:rPr>
              <w:t>6</w:t>
            </w:r>
            <w:r w:rsidR="00AE76A8" w:rsidRPr="00C05AA3">
              <w:rPr>
                <w:rFonts w:ascii="Times New Roman" w:eastAsia="Times New Roman" w:hAnsi="Times New Roman" w:cs="Times New Roman"/>
                <w:bCs/>
                <w:sz w:val="20"/>
                <w:szCs w:val="20"/>
                <w:lang w:eastAsia="ar-SA"/>
              </w:rPr>
              <w:t>2TREZ3065006XXX004705</w:t>
            </w:r>
          </w:p>
          <w:p w14:paraId="2081E093" w14:textId="7047D085"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b) instrumente de garantare emise în condiţiile legii astfel:</w:t>
            </w:r>
          </w:p>
          <w:p w14:paraId="319133AE"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 scrisori de garanţie emise de instituţii de credit bancare din România sau din alt stat;</w:t>
            </w:r>
          </w:p>
          <w:p w14:paraId="2A78709B" w14:textId="5848CDCB"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 scrisori de garanţie emise de instituţii financiare nebancare din România sau din alt stat pentru achiziţiile de lucrări a căror valoare estimată este mai mică sau egală cu 40.000.000 lei fără TVA;</w:t>
            </w:r>
          </w:p>
          <w:p w14:paraId="42BF1DA2"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(iii) asigurări de garanţii emise:</w:t>
            </w:r>
          </w:p>
          <w:p w14:paraId="34BDBFB9"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E70EC74"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xml:space="preserve">    - fie de societăţi de asigurare din state terţe prin sucursale autorizate în România de către Autoritatea de Supraveghere Financiară;</w:t>
            </w:r>
          </w:p>
          <w:p w14:paraId="7D2C0C95" w14:textId="532D5EBB"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Garanția de participare trebuie să fie irevocabilă și să fie constituită în suma și pentru perioada de valabilitate prevăzute în documentația de atribuire.</w:t>
            </w:r>
          </w:p>
          <w:p w14:paraId="1DEBA671"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Instrumentul de garantare sau ordinul de virament se transmite în SEAP împreună cu oferta și celelalte documente ale acesteia, trebuie să prevadă că plata garanției de participare se va executa necondiționat, respectiv la prima cerere a autorității contractante, pe baza declarației acestuia cu privire la culpa persoanei garantate.Documentul de plată va fi încărcat în SEAP, semnat cu semnătură electronică, până la data limită de depunere a ofertelor.</w:t>
            </w:r>
          </w:p>
          <w:p w14:paraId="745D0FB2" w14:textId="77777777" w:rsidR="00AF4F3A" w:rsidRPr="009B7265" w:rsidRDefault="00AF4F3A" w:rsidP="00DC6CE5">
            <w:pPr>
              <w:contextualSpacing/>
              <w:jc w:val="both"/>
              <w:rPr>
                <w:rFonts w:ascii="Times New Roman" w:eastAsia="Times New Roman" w:hAnsi="Times New Roman" w:cs="Times New Roman"/>
                <w:i/>
                <w:sz w:val="20"/>
                <w:szCs w:val="20"/>
              </w:rPr>
            </w:pPr>
            <w:r w:rsidRPr="009B7265">
              <w:rPr>
                <w:rFonts w:ascii="Times New Roman" w:eastAsia="Times New Roman" w:hAnsi="Times New Roman" w:cs="Times New Roman"/>
                <w:i/>
                <w:sz w:val="20"/>
                <w:szCs w:val="20"/>
              </w:rPr>
              <w:t xml:space="preserve"> </w:t>
            </w:r>
          </w:p>
          <w:p w14:paraId="313006EB"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 xml:space="preserve">După această dată, autoritatea contractantă solicită ofertanților clarificări în scopul prezentării în original a documentului privind  garanția de participare, în cazul în care acesta face parte din categoria documentelor cu regim </w:t>
            </w:r>
            <w:r w:rsidRPr="009B7265">
              <w:rPr>
                <w:rFonts w:ascii="Times New Roman" w:eastAsia="Times New Roman" w:hAnsi="Times New Roman" w:cs="Times New Roman"/>
                <w:sz w:val="20"/>
                <w:szCs w:val="20"/>
              </w:rPr>
              <w:lastRenderedPageBreak/>
              <w:t>special a căror valabilitate este condiționată de prezentarea în forma originală.</w:t>
            </w:r>
          </w:p>
          <w:p w14:paraId="1A86248A"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27347A55"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72BE52F6" w14:textId="7A7D4D59" w:rsidR="005304CD" w:rsidRPr="009B7265" w:rsidRDefault="00836870" w:rsidP="00DC6CE5">
            <w:pPr>
              <w:contextualSpacing/>
              <w:jc w:val="both"/>
              <w:rPr>
                <w:rFonts w:ascii="Times New Roman" w:hAnsi="Times New Roman" w:cs="Times New Roman"/>
                <w:bCs/>
                <w:sz w:val="20"/>
                <w:szCs w:val="20"/>
              </w:rPr>
            </w:pPr>
            <w:r w:rsidRPr="009B7265">
              <w:rPr>
                <w:rFonts w:ascii="Times New Roman" w:hAnsi="Times New Roman" w:cs="Times New Roman"/>
                <w:sz w:val="20"/>
                <w:szCs w:val="20"/>
              </w:rPr>
              <w:t>Modalitatea de restituire a garantiei de participare- conform Art. 154^1 din Legea 98/2016;Modalitatea de reținere a garantiei de participare- conform Art.37 alin.(1) din HG 395/2016</w:t>
            </w:r>
            <w:r w:rsidR="005304CD" w:rsidRPr="009B7265">
              <w:rPr>
                <w:rFonts w:ascii="Times New Roman" w:hAnsi="Times New Roman" w:cs="Times New Roman"/>
                <w:bCs/>
                <w:sz w:val="20"/>
                <w:szCs w:val="20"/>
              </w:rPr>
              <w:t>.</w:t>
            </w:r>
          </w:p>
          <w:p w14:paraId="6068A4D2" w14:textId="77777777" w:rsidR="003B1245" w:rsidRPr="009B7265" w:rsidRDefault="003B1245"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 xml:space="preserve">III.1.6.b) </w:t>
            </w:r>
            <w:r w:rsidR="00657A32" w:rsidRPr="009B7265">
              <w:rPr>
                <w:rFonts w:ascii="Times New Roman" w:hAnsi="Times New Roman" w:cs="Times New Roman"/>
                <w:bCs/>
                <w:sz w:val="20"/>
                <w:szCs w:val="20"/>
              </w:rPr>
              <w:t>Garanția</w:t>
            </w:r>
            <w:r w:rsidRPr="009B7265">
              <w:rPr>
                <w:rFonts w:ascii="Times New Roman" w:hAnsi="Times New Roman" w:cs="Times New Roman"/>
                <w:bCs/>
                <w:sz w:val="20"/>
                <w:szCs w:val="20"/>
              </w:rPr>
              <w:t xml:space="preserve"> de bun</w:t>
            </w:r>
            <w:r w:rsidR="00657A32" w:rsidRPr="009B7265">
              <w:rPr>
                <w:rFonts w:ascii="Times New Roman" w:hAnsi="Times New Roman" w:cs="Times New Roman"/>
                <w:bCs/>
                <w:sz w:val="20"/>
                <w:szCs w:val="20"/>
              </w:rPr>
              <w:t>ă</w:t>
            </w:r>
            <w:r w:rsidRPr="009B7265">
              <w:rPr>
                <w:rFonts w:ascii="Times New Roman" w:hAnsi="Times New Roman" w:cs="Times New Roman"/>
                <w:bCs/>
                <w:sz w:val="20"/>
                <w:szCs w:val="20"/>
              </w:rPr>
              <w:t xml:space="preserve"> </w:t>
            </w:r>
            <w:r w:rsidR="00657A32" w:rsidRPr="009B7265">
              <w:rPr>
                <w:rFonts w:ascii="Times New Roman" w:hAnsi="Times New Roman" w:cs="Times New Roman"/>
                <w:bCs/>
                <w:sz w:val="20"/>
                <w:szCs w:val="20"/>
              </w:rPr>
              <w:t>execuție</w:t>
            </w:r>
            <w:r w:rsidRPr="009B7265">
              <w:rPr>
                <w:rFonts w:ascii="Times New Roman" w:hAnsi="Times New Roman" w:cs="Times New Roman"/>
                <w:bCs/>
                <w:sz w:val="20"/>
                <w:szCs w:val="20"/>
              </w:rPr>
              <w:t>:</w:t>
            </w:r>
          </w:p>
          <w:p w14:paraId="60B36DB5" w14:textId="01F70868" w:rsidR="00C63A83" w:rsidRPr="009B7265" w:rsidRDefault="00C63A83"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 xml:space="preserve">Cuantumul garanției de bună execuție reprezintă </w:t>
            </w:r>
            <w:r w:rsidR="005D6E60" w:rsidRPr="009B7265">
              <w:rPr>
                <w:rFonts w:ascii="Times New Roman" w:hAnsi="Times New Roman" w:cs="Times New Roman"/>
                <w:bCs/>
                <w:i/>
                <w:iCs/>
                <w:sz w:val="20"/>
                <w:szCs w:val="20"/>
              </w:rPr>
              <w:t xml:space="preserve">10% </w:t>
            </w:r>
            <w:r w:rsidRPr="009B7265">
              <w:rPr>
                <w:rFonts w:ascii="Times New Roman" w:hAnsi="Times New Roman" w:cs="Times New Roman"/>
                <w:bCs/>
                <w:sz w:val="20"/>
                <w:szCs w:val="20"/>
              </w:rPr>
              <w:t xml:space="preserve">din prețul contractului (fără TVA) și se va constitui în conformitate cu prevederile </w:t>
            </w:r>
            <w:r w:rsidR="00B47D9E" w:rsidRPr="009B7265">
              <w:rPr>
                <w:rFonts w:ascii="Times New Roman" w:hAnsi="Times New Roman" w:cs="Times New Roman"/>
                <w:bCs/>
                <w:sz w:val="20"/>
                <w:szCs w:val="20"/>
              </w:rPr>
              <w:t>art</w:t>
            </w:r>
            <w:r w:rsidR="004E5572" w:rsidRPr="009B7265">
              <w:rPr>
                <w:rFonts w:ascii="Times New Roman" w:hAnsi="Times New Roman" w:cs="Times New Roman"/>
                <w:bCs/>
                <w:sz w:val="20"/>
                <w:szCs w:val="20"/>
              </w:rPr>
              <w:t>.</w:t>
            </w:r>
            <w:r w:rsidR="00B47D9E" w:rsidRPr="009B7265">
              <w:rPr>
                <w:rFonts w:ascii="Times New Roman" w:hAnsi="Times New Roman" w:cs="Times New Roman"/>
                <w:bCs/>
                <w:sz w:val="20"/>
                <w:szCs w:val="20"/>
              </w:rPr>
              <w:t xml:space="preserve"> 154 </w:t>
            </w:r>
            <w:r w:rsidR="004E5572" w:rsidRPr="009B7265">
              <w:rPr>
                <w:rFonts w:ascii="Times New Roman" w:hAnsi="Times New Roman" w:cs="Times New Roman"/>
                <w:bCs/>
                <w:sz w:val="20"/>
                <w:szCs w:val="20"/>
              </w:rPr>
              <w:t xml:space="preserve">alin (3) și (4) </w:t>
            </w:r>
            <w:r w:rsidR="00B47D9E" w:rsidRPr="009B7265">
              <w:rPr>
                <w:rFonts w:ascii="Times New Roman" w:hAnsi="Times New Roman" w:cs="Times New Roman"/>
                <w:bCs/>
                <w:sz w:val="20"/>
                <w:szCs w:val="20"/>
              </w:rPr>
              <w:t xml:space="preserve">din Legea </w:t>
            </w:r>
            <w:r w:rsidR="00A0179B" w:rsidRPr="009B7265">
              <w:rPr>
                <w:rFonts w:ascii="Times New Roman" w:hAnsi="Times New Roman" w:cs="Times New Roman"/>
                <w:bCs/>
                <w:sz w:val="20"/>
                <w:szCs w:val="20"/>
              </w:rPr>
              <w:t>98/2016</w:t>
            </w:r>
            <w:r w:rsidR="004E5572" w:rsidRPr="009B7265">
              <w:rPr>
                <w:rFonts w:ascii="Times New Roman" w:hAnsi="Times New Roman" w:cs="Times New Roman"/>
                <w:bCs/>
                <w:sz w:val="20"/>
                <w:szCs w:val="20"/>
              </w:rPr>
              <w:t xml:space="preserve">, </w:t>
            </w:r>
            <w:r w:rsidR="00E20330" w:rsidRPr="009B7265">
              <w:rPr>
                <w:rFonts w:ascii="Times New Roman" w:hAnsi="Times New Roman" w:cs="Times New Roman"/>
                <w:bCs/>
                <w:sz w:val="20"/>
                <w:szCs w:val="20"/>
              </w:rPr>
              <w:t>precum și</w:t>
            </w:r>
            <w:r w:rsidR="00410769" w:rsidRPr="009B7265">
              <w:rPr>
                <w:rFonts w:ascii="Times New Roman" w:hAnsi="Times New Roman" w:cs="Times New Roman"/>
                <w:bCs/>
                <w:sz w:val="20"/>
                <w:szCs w:val="20"/>
              </w:rPr>
              <w:t xml:space="preserve"> cu prevederile</w:t>
            </w:r>
            <w:r w:rsidR="00661D32" w:rsidRPr="009B7265">
              <w:rPr>
                <w:rFonts w:ascii="Times New Roman" w:hAnsi="Times New Roman" w:cs="Times New Roman"/>
                <w:bCs/>
                <w:sz w:val="20"/>
                <w:szCs w:val="20"/>
              </w:rPr>
              <w:t xml:space="preserve"> </w:t>
            </w:r>
            <w:r w:rsidRPr="009B7265">
              <w:rPr>
                <w:rFonts w:ascii="Times New Roman" w:hAnsi="Times New Roman" w:cs="Times New Roman"/>
                <w:bCs/>
                <w:sz w:val="20"/>
                <w:szCs w:val="20"/>
              </w:rPr>
              <w:t xml:space="preserve">art. 40 din Anexa la H.G. nr. 395/2016, </w:t>
            </w:r>
            <w:r w:rsidR="0066124B" w:rsidRPr="009B7265">
              <w:rPr>
                <w:rFonts w:ascii="Times New Roman" w:hAnsi="Times New Roman" w:cs="Times New Roman"/>
                <w:bCs/>
                <w:sz w:val="20"/>
                <w:szCs w:val="20"/>
              </w:rPr>
              <w:t>, cu modificările și completările ulterioare</w:t>
            </w:r>
            <w:r w:rsidR="00212525" w:rsidRPr="009B7265">
              <w:rPr>
                <w:rFonts w:ascii="Times New Roman" w:hAnsi="Times New Roman" w:cs="Times New Roman"/>
                <w:bCs/>
                <w:sz w:val="20"/>
                <w:szCs w:val="20"/>
              </w:rPr>
              <w:t>.</w:t>
            </w:r>
          </w:p>
        </w:tc>
      </w:tr>
    </w:tbl>
    <w:p w14:paraId="6215714B" w14:textId="77777777" w:rsidR="00E86E36" w:rsidRPr="009B7265" w:rsidRDefault="00E86E36" w:rsidP="00DC6CE5">
      <w:pPr>
        <w:spacing w:after="0" w:line="240" w:lineRule="auto"/>
        <w:contextualSpacing/>
        <w:jc w:val="both"/>
        <w:rPr>
          <w:rFonts w:ascii="Times New Roman" w:hAnsi="Times New Roman" w:cs="Times New Roman"/>
          <w:sz w:val="20"/>
          <w:szCs w:val="20"/>
        </w:rPr>
      </w:pPr>
    </w:p>
    <w:sectPr w:rsidR="00E86E36" w:rsidRPr="009B7265" w:rsidSect="00021A37">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CDAB9" w14:textId="77777777" w:rsidR="008B2ED1" w:rsidRDefault="008B2ED1">
      <w:pPr>
        <w:spacing w:after="0" w:line="240" w:lineRule="auto"/>
      </w:pPr>
      <w:r>
        <w:separator/>
      </w:r>
    </w:p>
  </w:endnote>
  <w:endnote w:type="continuationSeparator" w:id="0">
    <w:p w14:paraId="7DB198F9" w14:textId="77777777" w:rsidR="008B2ED1" w:rsidRDefault="008B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79895"/>
      <w:docPartObj>
        <w:docPartGallery w:val="Page Numbers (Bottom of Page)"/>
        <w:docPartUnique/>
      </w:docPartObj>
    </w:sdtPr>
    <w:sdtEndPr>
      <w:rPr>
        <w:noProof/>
      </w:rPr>
    </w:sdtEndPr>
    <w:sdtContent>
      <w:p w14:paraId="479F5F6A" w14:textId="7F524404" w:rsidR="00C05AA3" w:rsidRDefault="00C05AA3">
        <w:pPr>
          <w:pStyle w:val="Footer"/>
          <w:jc w:val="right"/>
        </w:pPr>
        <w:r>
          <w:fldChar w:fldCharType="begin"/>
        </w:r>
        <w:r>
          <w:instrText xml:space="preserve"> PAGE   \* MERGEFORMAT </w:instrText>
        </w:r>
        <w:r>
          <w:fldChar w:fldCharType="separate"/>
        </w:r>
        <w:r w:rsidR="008F66FD">
          <w:rPr>
            <w:noProof/>
          </w:rPr>
          <w:t>6</w:t>
        </w:r>
        <w:r>
          <w:rPr>
            <w:noProof/>
          </w:rPr>
          <w:fldChar w:fldCharType="end"/>
        </w:r>
      </w:p>
    </w:sdtContent>
  </w:sdt>
  <w:p w14:paraId="20CEE2B3" w14:textId="77777777" w:rsidR="00C05AA3" w:rsidRDefault="00C05A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778312"/>
      <w:docPartObj>
        <w:docPartGallery w:val="Page Numbers (Bottom of Page)"/>
        <w:docPartUnique/>
      </w:docPartObj>
    </w:sdtPr>
    <w:sdtEndPr>
      <w:rPr>
        <w:noProof/>
      </w:rPr>
    </w:sdtEndPr>
    <w:sdtContent>
      <w:p w14:paraId="4E95B22D" w14:textId="61362BC7" w:rsidR="001133FA" w:rsidRDefault="001133FA">
        <w:pPr>
          <w:pStyle w:val="Footer"/>
          <w:jc w:val="center"/>
        </w:pPr>
        <w:r>
          <w:fldChar w:fldCharType="begin"/>
        </w:r>
        <w:r>
          <w:instrText xml:space="preserve"> PAGE   \* MERGEFORMAT </w:instrText>
        </w:r>
        <w:r>
          <w:fldChar w:fldCharType="separate"/>
        </w:r>
        <w:r w:rsidR="008F66FD">
          <w:rPr>
            <w:noProof/>
          </w:rPr>
          <w:t>1</w:t>
        </w:r>
        <w:r>
          <w:rPr>
            <w:noProof/>
          </w:rPr>
          <w:fldChar w:fldCharType="end"/>
        </w:r>
      </w:p>
    </w:sdtContent>
  </w:sdt>
  <w:p w14:paraId="7D422EB6" w14:textId="77777777" w:rsidR="00C05AA3" w:rsidRDefault="00C05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134F0" w14:textId="77777777" w:rsidR="008B2ED1" w:rsidRDefault="008B2ED1">
      <w:pPr>
        <w:spacing w:after="0" w:line="240" w:lineRule="auto"/>
      </w:pPr>
      <w:r>
        <w:separator/>
      </w:r>
    </w:p>
  </w:footnote>
  <w:footnote w:type="continuationSeparator" w:id="0">
    <w:p w14:paraId="67DBF64A" w14:textId="77777777" w:rsidR="008B2ED1" w:rsidRDefault="008B2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2826AFA"/>
    <w:multiLevelType w:val="hybridMultilevel"/>
    <w:tmpl w:val="E61A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D14C9"/>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1337DB"/>
    <w:multiLevelType w:val="hybridMultilevel"/>
    <w:tmpl w:val="A0CE994A"/>
    <w:lvl w:ilvl="0" w:tplc="0409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AA436C"/>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074D93"/>
    <w:multiLevelType w:val="hybridMultilevel"/>
    <w:tmpl w:val="DDB06A04"/>
    <w:lvl w:ilvl="0" w:tplc="72B876F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A585F"/>
    <w:multiLevelType w:val="hybridMultilevel"/>
    <w:tmpl w:val="D8E69E32"/>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D6236EF"/>
    <w:multiLevelType w:val="multilevel"/>
    <w:tmpl w:val="B9B62A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2E292371"/>
    <w:multiLevelType w:val="hybridMultilevel"/>
    <w:tmpl w:val="B596C1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915D9"/>
    <w:multiLevelType w:val="hybridMultilevel"/>
    <w:tmpl w:val="235E30C2"/>
    <w:lvl w:ilvl="0" w:tplc="4FA03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85094"/>
    <w:multiLevelType w:val="hybridMultilevel"/>
    <w:tmpl w:val="EAE29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001D5"/>
    <w:multiLevelType w:val="multilevel"/>
    <w:tmpl w:val="A3240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7">
    <w:nsid w:val="4BD021FA"/>
    <w:multiLevelType w:val="hybridMultilevel"/>
    <w:tmpl w:val="95C2D166"/>
    <w:lvl w:ilvl="0" w:tplc="5156C4B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6008E"/>
    <w:multiLevelType w:val="hybridMultilevel"/>
    <w:tmpl w:val="DD2692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436561F"/>
    <w:multiLevelType w:val="hybridMultilevel"/>
    <w:tmpl w:val="48160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C33E2"/>
    <w:multiLevelType w:val="hybridMultilevel"/>
    <w:tmpl w:val="533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D194D88"/>
    <w:multiLevelType w:val="hybridMultilevel"/>
    <w:tmpl w:val="9A22700A"/>
    <w:lvl w:ilvl="0" w:tplc="440CFB0C">
      <w:start w:val="1"/>
      <w:numFmt w:val="upp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FB4C83"/>
    <w:multiLevelType w:val="hybridMultilevel"/>
    <w:tmpl w:val="88FCB7FE"/>
    <w:lvl w:ilvl="0" w:tplc="D7F0C066">
      <w:start w:val="1"/>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B1F4064"/>
    <w:multiLevelType w:val="hybridMultilevel"/>
    <w:tmpl w:val="1C30A0D0"/>
    <w:lvl w:ilvl="0" w:tplc="1DF8F92A">
      <w:start w:val="1"/>
      <w:numFmt w:val="bullet"/>
      <w:lvlText w:val="-"/>
      <w:lvlJc w:val="center"/>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2335F7C"/>
    <w:multiLevelType w:val="hybridMultilevel"/>
    <w:tmpl w:val="E9C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7852B5"/>
    <w:multiLevelType w:val="hybridMultilevel"/>
    <w:tmpl w:val="3C24A4B2"/>
    <w:lvl w:ilvl="0" w:tplc="1DF8F92A">
      <w:start w:val="1"/>
      <w:numFmt w:val="bullet"/>
      <w:lvlText w:val="-"/>
      <w:lvlJc w:val="center"/>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59E0DF1"/>
    <w:multiLevelType w:val="hybridMultilevel"/>
    <w:tmpl w:val="3840367C"/>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9F61F67"/>
    <w:multiLevelType w:val="hybridMultilevel"/>
    <w:tmpl w:val="D4125F14"/>
    <w:lvl w:ilvl="0" w:tplc="0409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2">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nsid w:val="7C093081"/>
    <w:multiLevelType w:val="hybridMultilevel"/>
    <w:tmpl w:val="144AE25E"/>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EF4365D"/>
    <w:multiLevelType w:val="hybridMultilevel"/>
    <w:tmpl w:val="F51CDD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570AA"/>
    <w:multiLevelType w:val="hybridMultilevel"/>
    <w:tmpl w:val="7D245C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20"/>
  </w:num>
  <w:num w:numId="4">
    <w:abstractNumId w:val="0"/>
  </w:num>
  <w:num w:numId="5">
    <w:abstractNumId w:val="34"/>
  </w:num>
  <w:num w:numId="6">
    <w:abstractNumId w:val="32"/>
  </w:num>
  <w:num w:numId="7">
    <w:abstractNumId w:val="13"/>
  </w:num>
  <w:num w:numId="8">
    <w:abstractNumId w:val="2"/>
  </w:num>
  <w:num w:numId="9">
    <w:abstractNumId w:val="19"/>
  </w:num>
  <w:num w:numId="10">
    <w:abstractNumId w:val="23"/>
  </w:num>
  <w:num w:numId="11">
    <w:abstractNumId w:val="9"/>
  </w:num>
  <w:num w:numId="12">
    <w:abstractNumId w:val="30"/>
  </w:num>
  <w:num w:numId="13">
    <w:abstractNumId w:val="14"/>
  </w:num>
  <w:num w:numId="14">
    <w:abstractNumId w:val="28"/>
  </w:num>
  <w:num w:numId="15">
    <w:abstractNumId w:val="27"/>
  </w:num>
  <w:num w:numId="16">
    <w:abstractNumId w:val="35"/>
  </w:num>
  <w:num w:numId="17">
    <w:abstractNumId w:val="3"/>
  </w:num>
  <w:num w:numId="18">
    <w:abstractNumId w:val="7"/>
  </w:num>
  <w:num w:numId="19">
    <w:abstractNumId w:val="17"/>
  </w:num>
  <w:num w:numId="20">
    <w:abstractNumId w:val="33"/>
  </w:num>
  <w:num w:numId="21">
    <w:abstractNumId w:val="21"/>
  </w:num>
  <w:num w:numId="22">
    <w:abstractNumId w:val="11"/>
  </w:num>
  <w:num w:numId="23">
    <w:abstractNumId w:val="8"/>
  </w:num>
  <w:num w:numId="24">
    <w:abstractNumId w:val="12"/>
  </w:num>
  <w:num w:numId="25">
    <w:abstractNumId w:val="29"/>
  </w:num>
  <w:num w:numId="26">
    <w:abstractNumId w:val="31"/>
  </w:num>
  <w:num w:numId="27">
    <w:abstractNumId w:val="5"/>
  </w:num>
  <w:num w:numId="28">
    <w:abstractNumId w:val="4"/>
  </w:num>
  <w:num w:numId="29">
    <w:abstractNumId w:val="6"/>
  </w:num>
  <w:num w:numId="30">
    <w:abstractNumId w:val="15"/>
  </w:num>
  <w:num w:numId="31">
    <w:abstractNumId w:val="10"/>
  </w:num>
  <w:num w:numId="32">
    <w:abstractNumId w:val="25"/>
  </w:num>
  <w:num w:numId="33">
    <w:abstractNumId w:val="1"/>
  </w:num>
  <w:num w:numId="34">
    <w:abstractNumId w:val="18"/>
  </w:num>
  <w:num w:numId="35">
    <w:abstractNumId w:val="24"/>
  </w:num>
  <w:num w:numId="36">
    <w:abstractNumId w:val="22"/>
  </w:num>
  <w:num w:numId="37">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08BC"/>
    <w:rsid w:val="00005684"/>
    <w:rsid w:val="0000660F"/>
    <w:rsid w:val="0000724D"/>
    <w:rsid w:val="00010DD0"/>
    <w:rsid w:val="0001427B"/>
    <w:rsid w:val="00014323"/>
    <w:rsid w:val="00014A2E"/>
    <w:rsid w:val="00015151"/>
    <w:rsid w:val="0001544F"/>
    <w:rsid w:val="000162DE"/>
    <w:rsid w:val="00016427"/>
    <w:rsid w:val="000166E0"/>
    <w:rsid w:val="00017483"/>
    <w:rsid w:val="00020BBA"/>
    <w:rsid w:val="000210F6"/>
    <w:rsid w:val="0002121F"/>
    <w:rsid w:val="000213DB"/>
    <w:rsid w:val="00021A37"/>
    <w:rsid w:val="00021ABF"/>
    <w:rsid w:val="000236A5"/>
    <w:rsid w:val="0002373A"/>
    <w:rsid w:val="00023E4E"/>
    <w:rsid w:val="0002543C"/>
    <w:rsid w:val="00025D92"/>
    <w:rsid w:val="0002676D"/>
    <w:rsid w:val="00030C75"/>
    <w:rsid w:val="000314B7"/>
    <w:rsid w:val="00032000"/>
    <w:rsid w:val="00032588"/>
    <w:rsid w:val="000365DF"/>
    <w:rsid w:val="0003670D"/>
    <w:rsid w:val="00036799"/>
    <w:rsid w:val="00036F52"/>
    <w:rsid w:val="00041221"/>
    <w:rsid w:val="00042193"/>
    <w:rsid w:val="0004286C"/>
    <w:rsid w:val="00043AE7"/>
    <w:rsid w:val="00044F44"/>
    <w:rsid w:val="00047210"/>
    <w:rsid w:val="0004786C"/>
    <w:rsid w:val="00050857"/>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0B56"/>
    <w:rsid w:val="000B1299"/>
    <w:rsid w:val="000B21D5"/>
    <w:rsid w:val="000B24C0"/>
    <w:rsid w:val="000B272D"/>
    <w:rsid w:val="000B57DF"/>
    <w:rsid w:val="000B6ABE"/>
    <w:rsid w:val="000C0801"/>
    <w:rsid w:val="000C0C43"/>
    <w:rsid w:val="000C1368"/>
    <w:rsid w:val="000C2516"/>
    <w:rsid w:val="000C6524"/>
    <w:rsid w:val="000C65AA"/>
    <w:rsid w:val="000C7334"/>
    <w:rsid w:val="000C7B08"/>
    <w:rsid w:val="000D1600"/>
    <w:rsid w:val="000D223C"/>
    <w:rsid w:val="000D250A"/>
    <w:rsid w:val="000D3A3B"/>
    <w:rsid w:val="000D3A61"/>
    <w:rsid w:val="000D6800"/>
    <w:rsid w:val="000D6CD7"/>
    <w:rsid w:val="000D7126"/>
    <w:rsid w:val="000D7349"/>
    <w:rsid w:val="000D73DA"/>
    <w:rsid w:val="000E2A1D"/>
    <w:rsid w:val="000E2D98"/>
    <w:rsid w:val="000E3C57"/>
    <w:rsid w:val="000E43F4"/>
    <w:rsid w:val="000E4493"/>
    <w:rsid w:val="000E469B"/>
    <w:rsid w:val="000E4B20"/>
    <w:rsid w:val="000E51A7"/>
    <w:rsid w:val="000E6A57"/>
    <w:rsid w:val="000F0FE7"/>
    <w:rsid w:val="000F145A"/>
    <w:rsid w:val="000F1942"/>
    <w:rsid w:val="000F39D3"/>
    <w:rsid w:val="000F68B4"/>
    <w:rsid w:val="000F7759"/>
    <w:rsid w:val="000F776A"/>
    <w:rsid w:val="001016E5"/>
    <w:rsid w:val="00103910"/>
    <w:rsid w:val="00103E23"/>
    <w:rsid w:val="00106166"/>
    <w:rsid w:val="00107394"/>
    <w:rsid w:val="001075C3"/>
    <w:rsid w:val="001076AD"/>
    <w:rsid w:val="001109D4"/>
    <w:rsid w:val="00110B7E"/>
    <w:rsid w:val="00111A4B"/>
    <w:rsid w:val="001120D4"/>
    <w:rsid w:val="00112A30"/>
    <w:rsid w:val="001133FA"/>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1FD2"/>
    <w:rsid w:val="00144121"/>
    <w:rsid w:val="00146DCD"/>
    <w:rsid w:val="001501AA"/>
    <w:rsid w:val="001513AA"/>
    <w:rsid w:val="00151820"/>
    <w:rsid w:val="00153406"/>
    <w:rsid w:val="00154EA9"/>
    <w:rsid w:val="001562C4"/>
    <w:rsid w:val="001563DF"/>
    <w:rsid w:val="00156830"/>
    <w:rsid w:val="00157D1D"/>
    <w:rsid w:val="001631C7"/>
    <w:rsid w:val="001633F7"/>
    <w:rsid w:val="00163601"/>
    <w:rsid w:val="00163676"/>
    <w:rsid w:val="0016430F"/>
    <w:rsid w:val="001648B7"/>
    <w:rsid w:val="00164A42"/>
    <w:rsid w:val="001701B4"/>
    <w:rsid w:val="001705FF"/>
    <w:rsid w:val="00170854"/>
    <w:rsid w:val="00170999"/>
    <w:rsid w:val="00173694"/>
    <w:rsid w:val="0017529E"/>
    <w:rsid w:val="00175FA7"/>
    <w:rsid w:val="001770B6"/>
    <w:rsid w:val="00177B20"/>
    <w:rsid w:val="001802AE"/>
    <w:rsid w:val="00180516"/>
    <w:rsid w:val="0018131B"/>
    <w:rsid w:val="00182AE3"/>
    <w:rsid w:val="001831BF"/>
    <w:rsid w:val="001850A6"/>
    <w:rsid w:val="0018559B"/>
    <w:rsid w:val="001875D8"/>
    <w:rsid w:val="00187CC0"/>
    <w:rsid w:val="0019085F"/>
    <w:rsid w:val="00193E5A"/>
    <w:rsid w:val="001941EA"/>
    <w:rsid w:val="00196739"/>
    <w:rsid w:val="001A00CE"/>
    <w:rsid w:val="001A0AE5"/>
    <w:rsid w:val="001A2579"/>
    <w:rsid w:val="001A493B"/>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3E"/>
    <w:rsid w:val="001C426F"/>
    <w:rsid w:val="001C4658"/>
    <w:rsid w:val="001C5736"/>
    <w:rsid w:val="001C5A16"/>
    <w:rsid w:val="001C5C57"/>
    <w:rsid w:val="001C798C"/>
    <w:rsid w:val="001D06AB"/>
    <w:rsid w:val="001D285A"/>
    <w:rsid w:val="001D3D5C"/>
    <w:rsid w:val="001D4204"/>
    <w:rsid w:val="001D6018"/>
    <w:rsid w:val="001D6226"/>
    <w:rsid w:val="001D6A94"/>
    <w:rsid w:val="001D6DE9"/>
    <w:rsid w:val="001D7094"/>
    <w:rsid w:val="001E137F"/>
    <w:rsid w:val="001E2238"/>
    <w:rsid w:val="001E2B2E"/>
    <w:rsid w:val="001E3158"/>
    <w:rsid w:val="001E373D"/>
    <w:rsid w:val="001E3BB0"/>
    <w:rsid w:val="001E64E6"/>
    <w:rsid w:val="001E7472"/>
    <w:rsid w:val="001E7C81"/>
    <w:rsid w:val="001E7EA8"/>
    <w:rsid w:val="001F0476"/>
    <w:rsid w:val="001F0712"/>
    <w:rsid w:val="001F4EF0"/>
    <w:rsid w:val="001F630C"/>
    <w:rsid w:val="001F6B6D"/>
    <w:rsid w:val="00201225"/>
    <w:rsid w:val="002016C2"/>
    <w:rsid w:val="0020231B"/>
    <w:rsid w:val="002028C7"/>
    <w:rsid w:val="00202E3D"/>
    <w:rsid w:val="002039A3"/>
    <w:rsid w:val="00204737"/>
    <w:rsid w:val="002062AB"/>
    <w:rsid w:val="0020772E"/>
    <w:rsid w:val="002116D9"/>
    <w:rsid w:val="00211B3A"/>
    <w:rsid w:val="00212525"/>
    <w:rsid w:val="002143DC"/>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6744"/>
    <w:rsid w:val="0023678A"/>
    <w:rsid w:val="002367D6"/>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52E4"/>
    <w:rsid w:val="002577B0"/>
    <w:rsid w:val="00257D38"/>
    <w:rsid w:val="0026035F"/>
    <w:rsid w:val="00260A3A"/>
    <w:rsid w:val="00261120"/>
    <w:rsid w:val="00261E95"/>
    <w:rsid w:val="00263630"/>
    <w:rsid w:val="00263779"/>
    <w:rsid w:val="00263C9D"/>
    <w:rsid w:val="0026409D"/>
    <w:rsid w:val="0026541E"/>
    <w:rsid w:val="002655C1"/>
    <w:rsid w:val="00265AAE"/>
    <w:rsid w:val="00265CDD"/>
    <w:rsid w:val="00266486"/>
    <w:rsid w:val="0026756D"/>
    <w:rsid w:val="002701E7"/>
    <w:rsid w:val="0027028B"/>
    <w:rsid w:val="002707A3"/>
    <w:rsid w:val="00270A16"/>
    <w:rsid w:val="0027174D"/>
    <w:rsid w:val="00275D95"/>
    <w:rsid w:val="002769B7"/>
    <w:rsid w:val="00277216"/>
    <w:rsid w:val="00277AA5"/>
    <w:rsid w:val="00277FCC"/>
    <w:rsid w:val="002805DA"/>
    <w:rsid w:val="0028167C"/>
    <w:rsid w:val="00281B01"/>
    <w:rsid w:val="002821AC"/>
    <w:rsid w:val="00286832"/>
    <w:rsid w:val="002904AD"/>
    <w:rsid w:val="00291E91"/>
    <w:rsid w:val="002932EC"/>
    <w:rsid w:val="00293C89"/>
    <w:rsid w:val="00293F59"/>
    <w:rsid w:val="002971D0"/>
    <w:rsid w:val="002A0BEF"/>
    <w:rsid w:val="002A1053"/>
    <w:rsid w:val="002A1C97"/>
    <w:rsid w:val="002A22E3"/>
    <w:rsid w:val="002A3347"/>
    <w:rsid w:val="002A3909"/>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D03EF"/>
    <w:rsid w:val="002D0C83"/>
    <w:rsid w:val="002D2C1D"/>
    <w:rsid w:val="002D3349"/>
    <w:rsid w:val="002D5C83"/>
    <w:rsid w:val="002D791E"/>
    <w:rsid w:val="002D7A50"/>
    <w:rsid w:val="002D7CA6"/>
    <w:rsid w:val="002E3076"/>
    <w:rsid w:val="002E3AA5"/>
    <w:rsid w:val="002E4CB6"/>
    <w:rsid w:val="002E50CE"/>
    <w:rsid w:val="002F0688"/>
    <w:rsid w:val="002F0B9D"/>
    <w:rsid w:val="002F2400"/>
    <w:rsid w:val="002F28FC"/>
    <w:rsid w:val="002F2B1B"/>
    <w:rsid w:val="002F34A8"/>
    <w:rsid w:val="002F3572"/>
    <w:rsid w:val="002F3A32"/>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63D4"/>
    <w:rsid w:val="003070A3"/>
    <w:rsid w:val="00310015"/>
    <w:rsid w:val="003105D2"/>
    <w:rsid w:val="00310C3A"/>
    <w:rsid w:val="003135CF"/>
    <w:rsid w:val="00313611"/>
    <w:rsid w:val="0031389D"/>
    <w:rsid w:val="00313CD9"/>
    <w:rsid w:val="00315E32"/>
    <w:rsid w:val="00316DBE"/>
    <w:rsid w:val="003226D4"/>
    <w:rsid w:val="003247E4"/>
    <w:rsid w:val="003249ED"/>
    <w:rsid w:val="00324AE5"/>
    <w:rsid w:val="00324DEA"/>
    <w:rsid w:val="00325672"/>
    <w:rsid w:val="00330A29"/>
    <w:rsid w:val="003314C6"/>
    <w:rsid w:val="0033364A"/>
    <w:rsid w:val="00333658"/>
    <w:rsid w:val="00333945"/>
    <w:rsid w:val="003356E1"/>
    <w:rsid w:val="00335727"/>
    <w:rsid w:val="00340291"/>
    <w:rsid w:val="003416CA"/>
    <w:rsid w:val="00342C11"/>
    <w:rsid w:val="00342F1C"/>
    <w:rsid w:val="003434F7"/>
    <w:rsid w:val="00344528"/>
    <w:rsid w:val="0034522D"/>
    <w:rsid w:val="00346A8B"/>
    <w:rsid w:val="003471D8"/>
    <w:rsid w:val="00351F50"/>
    <w:rsid w:val="00353D0D"/>
    <w:rsid w:val="00356430"/>
    <w:rsid w:val="003567C1"/>
    <w:rsid w:val="00357757"/>
    <w:rsid w:val="00360856"/>
    <w:rsid w:val="00363376"/>
    <w:rsid w:val="003633CD"/>
    <w:rsid w:val="00363AD3"/>
    <w:rsid w:val="00364D03"/>
    <w:rsid w:val="00364E89"/>
    <w:rsid w:val="00366B85"/>
    <w:rsid w:val="00367598"/>
    <w:rsid w:val="00367AC0"/>
    <w:rsid w:val="003706C3"/>
    <w:rsid w:val="0037234F"/>
    <w:rsid w:val="00372A1A"/>
    <w:rsid w:val="00373B7F"/>
    <w:rsid w:val="00374088"/>
    <w:rsid w:val="003741CE"/>
    <w:rsid w:val="00380B44"/>
    <w:rsid w:val="0038181B"/>
    <w:rsid w:val="00383146"/>
    <w:rsid w:val="00384193"/>
    <w:rsid w:val="003856F0"/>
    <w:rsid w:val="00386A0C"/>
    <w:rsid w:val="00390F14"/>
    <w:rsid w:val="003919A2"/>
    <w:rsid w:val="003943BB"/>
    <w:rsid w:val="00395ED8"/>
    <w:rsid w:val="003A0169"/>
    <w:rsid w:val="003A0BD7"/>
    <w:rsid w:val="003A1155"/>
    <w:rsid w:val="003A16E3"/>
    <w:rsid w:val="003A1969"/>
    <w:rsid w:val="003A37EE"/>
    <w:rsid w:val="003A44C3"/>
    <w:rsid w:val="003A4C65"/>
    <w:rsid w:val="003A531C"/>
    <w:rsid w:val="003A5839"/>
    <w:rsid w:val="003A5C57"/>
    <w:rsid w:val="003A5D94"/>
    <w:rsid w:val="003A6C56"/>
    <w:rsid w:val="003A769D"/>
    <w:rsid w:val="003B0122"/>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D0753"/>
    <w:rsid w:val="003D0C5E"/>
    <w:rsid w:val="003D1FBF"/>
    <w:rsid w:val="003D484F"/>
    <w:rsid w:val="003D55C7"/>
    <w:rsid w:val="003D6227"/>
    <w:rsid w:val="003D626D"/>
    <w:rsid w:val="003D7673"/>
    <w:rsid w:val="003E0564"/>
    <w:rsid w:val="003E157B"/>
    <w:rsid w:val="003E22B2"/>
    <w:rsid w:val="003E285B"/>
    <w:rsid w:val="003E30A6"/>
    <w:rsid w:val="003E36ED"/>
    <w:rsid w:val="003E4483"/>
    <w:rsid w:val="003E5F31"/>
    <w:rsid w:val="003F0094"/>
    <w:rsid w:val="003F114F"/>
    <w:rsid w:val="003F32BC"/>
    <w:rsid w:val="003F414C"/>
    <w:rsid w:val="003F468E"/>
    <w:rsid w:val="003F48D0"/>
    <w:rsid w:val="003F60F4"/>
    <w:rsid w:val="003F6440"/>
    <w:rsid w:val="004011A2"/>
    <w:rsid w:val="00401705"/>
    <w:rsid w:val="00402988"/>
    <w:rsid w:val="00402AFE"/>
    <w:rsid w:val="004044E0"/>
    <w:rsid w:val="00404B56"/>
    <w:rsid w:val="00404DE6"/>
    <w:rsid w:val="00406111"/>
    <w:rsid w:val="004063A3"/>
    <w:rsid w:val="004073BC"/>
    <w:rsid w:val="00407D9F"/>
    <w:rsid w:val="00410769"/>
    <w:rsid w:val="00410BAD"/>
    <w:rsid w:val="00410DF8"/>
    <w:rsid w:val="0041145D"/>
    <w:rsid w:val="00411D17"/>
    <w:rsid w:val="00413982"/>
    <w:rsid w:val="004208DA"/>
    <w:rsid w:val="004221EB"/>
    <w:rsid w:val="00425B58"/>
    <w:rsid w:val="00426BB3"/>
    <w:rsid w:val="00431979"/>
    <w:rsid w:val="004345E0"/>
    <w:rsid w:val="00434A3D"/>
    <w:rsid w:val="00434CD6"/>
    <w:rsid w:val="004366A2"/>
    <w:rsid w:val="00436BB8"/>
    <w:rsid w:val="00437604"/>
    <w:rsid w:val="0044052B"/>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8CA"/>
    <w:rsid w:val="00453951"/>
    <w:rsid w:val="004542E1"/>
    <w:rsid w:val="00454313"/>
    <w:rsid w:val="004544AD"/>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5DD"/>
    <w:rsid w:val="004670C0"/>
    <w:rsid w:val="00471167"/>
    <w:rsid w:val="00473D28"/>
    <w:rsid w:val="00474A35"/>
    <w:rsid w:val="004752F0"/>
    <w:rsid w:val="00475908"/>
    <w:rsid w:val="00476FE0"/>
    <w:rsid w:val="00477233"/>
    <w:rsid w:val="00483071"/>
    <w:rsid w:val="00485ED5"/>
    <w:rsid w:val="004921CB"/>
    <w:rsid w:val="00493B48"/>
    <w:rsid w:val="004944AC"/>
    <w:rsid w:val="004964CB"/>
    <w:rsid w:val="0049772D"/>
    <w:rsid w:val="004A03CD"/>
    <w:rsid w:val="004A2289"/>
    <w:rsid w:val="004A3342"/>
    <w:rsid w:val="004A340B"/>
    <w:rsid w:val="004A39FC"/>
    <w:rsid w:val="004A3DAC"/>
    <w:rsid w:val="004A459D"/>
    <w:rsid w:val="004A4EF7"/>
    <w:rsid w:val="004A616E"/>
    <w:rsid w:val="004A6D70"/>
    <w:rsid w:val="004B09FD"/>
    <w:rsid w:val="004B0DB7"/>
    <w:rsid w:val="004B1062"/>
    <w:rsid w:val="004B1F07"/>
    <w:rsid w:val="004B2485"/>
    <w:rsid w:val="004B3995"/>
    <w:rsid w:val="004B44EB"/>
    <w:rsid w:val="004B465C"/>
    <w:rsid w:val="004B4830"/>
    <w:rsid w:val="004B5E08"/>
    <w:rsid w:val="004B63B9"/>
    <w:rsid w:val="004B6A05"/>
    <w:rsid w:val="004B714B"/>
    <w:rsid w:val="004C1680"/>
    <w:rsid w:val="004C2F03"/>
    <w:rsid w:val="004C30EC"/>
    <w:rsid w:val="004C31C3"/>
    <w:rsid w:val="004C569D"/>
    <w:rsid w:val="004C7D38"/>
    <w:rsid w:val="004D007E"/>
    <w:rsid w:val="004D28A1"/>
    <w:rsid w:val="004D2AA6"/>
    <w:rsid w:val="004D2C07"/>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4F6CBC"/>
    <w:rsid w:val="00500D4D"/>
    <w:rsid w:val="00501BD6"/>
    <w:rsid w:val="0050252C"/>
    <w:rsid w:val="00504B73"/>
    <w:rsid w:val="00504D0A"/>
    <w:rsid w:val="00507E9E"/>
    <w:rsid w:val="00510148"/>
    <w:rsid w:val="00511DFC"/>
    <w:rsid w:val="00512897"/>
    <w:rsid w:val="00512C1F"/>
    <w:rsid w:val="005138B7"/>
    <w:rsid w:val="0051456A"/>
    <w:rsid w:val="0051513D"/>
    <w:rsid w:val="0051576D"/>
    <w:rsid w:val="00521A5E"/>
    <w:rsid w:val="005229D8"/>
    <w:rsid w:val="005248DE"/>
    <w:rsid w:val="00524ED1"/>
    <w:rsid w:val="005267A9"/>
    <w:rsid w:val="005272D0"/>
    <w:rsid w:val="00527A86"/>
    <w:rsid w:val="005300B4"/>
    <w:rsid w:val="0053010D"/>
    <w:rsid w:val="005304CD"/>
    <w:rsid w:val="00530DC2"/>
    <w:rsid w:val="0053148F"/>
    <w:rsid w:val="005336A6"/>
    <w:rsid w:val="00533F84"/>
    <w:rsid w:val="00535BFA"/>
    <w:rsid w:val="005418AB"/>
    <w:rsid w:val="00541B08"/>
    <w:rsid w:val="005434A1"/>
    <w:rsid w:val="0054475D"/>
    <w:rsid w:val="0054522C"/>
    <w:rsid w:val="00545AA9"/>
    <w:rsid w:val="0054649F"/>
    <w:rsid w:val="00546572"/>
    <w:rsid w:val="00546F79"/>
    <w:rsid w:val="0054714D"/>
    <w:rsid w:val="00551ACD"/>
    <w:rsid w:val="00551B75"/>
    <w:rsid w:val="00552881"/>
    <w:rsid w:val="00552D80"/>
    <w:rsid w:val="0055314F"/>
    <w:rsid w:val="00554CAA"/>
    <w:rsid w:val="00554D92"/>
    <w:rsid w:val="00556FBB"/>
    <w:rsid w:val="00560100"/>
    <w:rsid w:val="00560950"/>
    <w:rsid w:val="00561BA9"/>
    <w:rsid w:val="00562194"/>
    <w:rsid w:val="00562A45"/>
    <w:rsid w:val="00562E48"/>
    <w:rsid w:val="00565B9D"/>
    <w:rsid w:val="00567427"/>
    <w:rsid w:val="005700CE"/>
    <w:rsid w:val="00570B67"/>
    <w:rsid w:val="005714ED"/>
    <w:rsid w:val="00572CF3"/>
    <w:rsid w:val="0057444A"/>
    <w:rsid w:val="00575371"/>
    <w:rsid w:val="0057591F"/>
    <w:rsid w:val="005808F4"/>
    <w:rsid w:val="00580F71"/>
    <w:rsid w:val="00581EE3"/>
    <w:rsid w:val="0058233F"/>
    <w:rsid w:val="005839BC"/>
    <w:rsid w:val="00584522"/>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A7FC8"/>
    <w:rsid w:val="005B2ED9"/>
    <w:rsid w:val="005B2F9F"/>
    <w:rsid w:val="005B37CD"/>
    <w:rsid w:val="005B47EA"/>
    <w:rsid w:val="005B4910"/>
    <w:rsid w:val="005B4CDE"/>
    <w:rsid w:val="005B7AC0"/>
    <w:rsid w:val="005C2370"/>
    <w:rsid w:val="005C3C6A"/>
    <w:rsid w:val="005C4584"/>
    <w:rsid w:val="005C5083"/>
    <w:rsid w:val="005C577E"/>
    <w:rsid w:val="005C609C"/>
    <w:rsid w:val="005C7796"/>
    <w:rsid w:val="005D07EB"/>
    <w:rsid w:val="005D0A21"/>
    <w:rsid w:val="005D1026"/>
    <w:rsid w:val="005D1AE5"/>
    <w:rsid w:val="005D3106"/>
    <w:rsid w:val="005D58E3"/>
    <w:rsid w:val="005D6E60"/>
    <w:rsid w:val="005D78AD"/>
    <w:rsid w:val="005D7939"/>
    <w:rsid w:val="005D7E64"/>
    <w:rsid w:val="005E2127"/>
    <w:rsid w:val="005E3211"/>
    <w:rsid w:val="005E4C70"/>
    <w:rsid w:val="005E5D84"/>
    <w:rsid w:val="005E62BD"/>
    <w:rsid w:val="005E7515"/>
    <w:rsid w:val="005E7C51"/>
    <w:rsid w:val="005F1CEB"/>
    <w:rsid w:val="005F2917"/>
    <w:rsid w:val="005F3057"/>
    <w:rsid w:val="005F38B5"/>
    <w:rsid w:val="005F49F8"/>
    <w:rsid w:val="005F4CF5"/>
    <w:rsid w:val="005F5016"/>
    <w:rsid w:val="005F686F"/>
    <w:rsid w:val="006000CF"/>
    <w:rsid w:val="00600FEA"/>
    <w:rsid w:val="00601133"/>
    <w:rsid w:val="00601166"/>
    <w:rsid w:val="0060166F"/>
    <w:rsid w:val="0061125E"/>
    <w:rsid w:val="0061184E"/>
    <w:rsid w:val="0061456E"/>
    <w:rsid w:val="00614BF0"/>
    <w:rsid w:val="00616FF6"/>
    <w:rsid w:val="006202E7"/>
    <w:rsid w:val="0062073C"/>
    <w:rsid w:val="006211EF"/>
    <w:rsid w:val="006218CF"/>
    <w:rsid w:val="0062366E"/>
    <w:rsid w:val="0062556E"/>
    <w:rsid w:val="00625F6E"/>
    <w:rsid w:val="006270B9"/>
    <w:rsid w:val="006306FF"/>
    <w:rsid w:val="00630C51"/>
    <w:rsid w:val="00630D63"/>
    <w:rsid w:val="006312E0"/>
    <w:rsid w:val="0063381E"/>
    <w:rsid w:val="00634890"/>
    <w:rsid w:val="00634E59"/>
    <w:rsid w:val="006353A3"/>
    <w:rsid w:val="0063665C"/>
    <w:rsid w:val="00640910"/>
    <w:rsid w:val="00640A0E"/>
    <w:rsid w:val="00640B97"/>
    <w:rsid w:val="00640D4D"/>
    <w:rsid w:val="006417C3"/>
    <w:rsid w:val="006418FB"/>
    <w:rsid w:val="00643499"/>
    <w:rsid w:val="00646DAF"/>
    <w:rsid w:val="00646EDD"/>
    <w:rsid w:val="0064752E"/>
    <w:rsid w:val="00650380"/>
    <w:rsid w:val="00651013"/>
    <w:rsid w:val="00652C45"/>
    <w:rsid w:val="006533A7"/>
    <w:rsid w:val="00653AE0"/>
    <w:rsid w:val="006540D7"/>
    <w:rsid w:val="00654B64"/>
    <w:rsid w:val="0065547E"/>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5B1E"/>
    <w:rsid w:val="00666C18"/>
    <w:rsid w:val="00667EA0"/>
    <w:rsid w:val="0067075A"/>
    <w:rsid w:val="006716B0"/>
    <w:rsid w:val="00671B2E"/>
    <w:rsid w:val="00674858"/>
    <w:rsid w:val="00674887"/>
    <w:rsid w:val="00675767"/>
    <w:rsid w:val="006760A3"/>
    <w:rsid w:val="00676153"/>
    <w:rsid w:val="00676537"/>
    <w:rsid w:val="0067723E"/>
    <w:rsid w:val="00681CD3"/>
    <w:rsid w:val="00682B97"/>
    <w:rsid w:val="00683602"/>
    <w:rsid w:val="00684FCB"/>
    <w:rsid w:val="00685B86"/>
    <w:rsid w:val="006876FF"/>
    <w:rsid w:val="00690CCC"/>
    <w:rsid w:val="00691500"/>
    <w:rsid w:val="00691FB4"/>
    <w:rsid w:val="006930D4"/>
    <w:rsid w:val="00697825"/>
    <w:rsid w:val="00697FA0"/>
    <w:rsid w:val="006A025C"/>
    <w:rsid w:val="006A08CB"/>
    <w:rsid w:val="006A2E2D"/>
    <w:rsid w:val="006A3E15"/>
    <w:rsid w:val="006A5BFF"/>
    <w:rsid w:val="006A6433"/>
    <w:rsid w:val="006A7172"/>
    <w:rsid w:val="006B0D65"/>
    <w:rsid w:val="006B11CF"/>
    <w:rsid w:val="006B1368"/>
    <w:rsid w:val="006B1A96"/>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1D7E"/>
    <w:rsid w:val="006D3115"/>
    <w:rsid w:val="006D3451"/>
    <w:rsid w:val="006D365C"/>
    <w:rsid w:val="006D3F28"/>
    <w:rsid w:val="006D52F9"/>
    <w:rsid w:val="006D6804"/>
    <w:rsid w:val="006D7060"/>
    <w:rsid w:val="006D7325"/>
    <w:rsid w:val="006E0188"/>
    <w:rsid w:val="006E2904"/>
    <w:rsid w:val="006E2D1C"/>
    <w:rsid w:val="006E30DD"/>
    <w:rsid w:val="006E5CDF"/>
    <w:rsid w:val="006E7D50"/>
    <w:rsid w:val="006F1D93"/>
    <w:rsid w:val="006F2EDF"/>
    <w:rsid w:val="006F48C8"/>
    <w:rsid w:val="006F56EE"/>
    <w:rsid w:val="006F60B7"/>
    <w:rsid w:val="006F60D8"/>
    <w:rsid w:val="006F6A17"/>
    <w:rsid w:val="006F75DB"/>
    <w:rsid w:val="007011B8"/>
    <w:rsid w:val="00701F62"/>
    <w:rsid w:val="00704864"/>
    <w:rsid w:val="0070647F"/>
    <w:rsid w:val="007109AF"/>
    <w:rsid w:val="00710F10"/>
    <w:rsid w:val="0071345E"/>
    <w:rsid w:val="0071364E"/>
    <w:rsid w:val="007136AD"/>
    <w:rsid w:val="00715630"/>
    <w:rsid w:val="00716FE0"/>
    <w:rsid w:val="007202C1"/>
    <w:rsid w:val="0072144D"/>
    <w:rsid w:val="0072240A"/>
    <w:rsid w:val="00722CF5"/>
    <w:rsid w:val="00723D08"/>
    <w:rsid w:val="00724535"/>
    <w:rsid w:val="00724EE2"/>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3039"/>
    <w:rsid w:val="007455A6"/>
    <w:rsid w:val="0074561D"/>
    <w:rsid w:val="007462DF"/>
    <w:rsid w:val="00747043"/>
    <w:rsid w:val="0074766A"/>
    <w:rsid w:val="0075107A"/>
    <w:rsid w:val="0075305C"/>
    <w:rsid w:val="00753060"/>
    <w:rsid w:val="00753FD4"/>
    <w:rsid w:val="007549DC"/>
    <w:rsid w:val="0075526E"/>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2304"/>
    <w:rsid w:val="0078399D"/>
    <w:rsid w:val="00783FC6"/>
    <w:rsid w:val="00786725"/>
    <w:rsid w:val="00786926"/>
    <w:rsid w:val="00787B5B"/>
    <w:rsid w:val="00793B8F"/>
    <w:rsid w:val="00794915"/>
    <w:rsid w:val="00794D60"/>
    <w:rsid w:val="00795D8D"/>
    <w:rsid w:val="007962AD"/>
    <w:rsid w:val="00797459"/>
    <w:rsid w:val="007974C7"/>
    <w:rsid w:val="007A0B38"/>
    <w:rsid w:val="007A1C9B"/>
    <w:rsid w:val="007A6530"/>
    <w:rsid w:val="007A6985"/>
    <w:rsid w:val="007B0DB7"/>
    <w:rsid w:val="007B0FF3"/>
    <w:rsid w:val="007B242E"/>
    <w:rsid w:val="007B2E56"/>
    <w:rsid w:val="007B3845"/>
    <w:rsid w:val="007B3E1A"/>
    <w:rsid w:val="007B717B"/>
    <w:rsid w:val="007B7876"/>
    <w:rsid w:val="007B7A32"/>
    <w:rsid w:val="007B7E23"/>
    <w:rsid w:val="007C083B"/>
    <w:rsid w:val="007C0D67"/>
    <w:rsid w:val="007C1024"/>
    <w:rsid w:val="007C19FF"/>
    <w:rsid w:val="007C25D1"/>
    <w:rsid w:val="007C3510"/>
    <w:rsid w:val="007C563D"/>
    <w:rsid w:val="007C56C5"/>
    <w:rsid w:val="007C69F8"/>
    <w:rsid w:val="007C715F"/>
    <w:rsid w:val="007C7217"/>
    <w:rsid w:val="007D06BB"/>
    <w:rsid w:val="007D10C7"/>
    <w:rsid w:val="007D2884"/>
    <w:rsid w:val="007D28C2"/>
    <w:rsid w:val="007D3E75"/>
    <w:rsid w:val="007D476A"/>
    <w:rsid w:val="007D6256"/>
    <w:rsid w:val="007D6A1A"/>
    <w:rsid w:val="007D6A82"/>
    <w:rsid w:val="007E0694"/>
    <w:rsid w:val="007E135E"/>
    <w:rsid w:val="007E20FF"/>
    <w:rsid w:val="007E3391"/>
    <w:rsid w:val="007E3817"/>
    <w:rsid w:val="007E6934"/>
    <w:rsid w:val="007F3CA1"/>
    <w:rsid w:val="007F49F5"/>
    <w:rsid w:val="007F5FFD"/>
    <w:rsid w:val="007F60AC"/>
    <w:rsid w:val="007F7095"/>
    <w:rsid w:val="00801175"/>
    <w:rsid w:val="008023DB"/>
    <w:rsid w:val="00802B4D"/>
    <w:rsid w:val="00802C8D"/>
    <w:rsid w:val="0080357C"/>
    <w:rsid w:val="00807533"/>
    <w:rsid w:val="00810D6F"/>
    <w:rsid w:val="008117EA"/>
    <w:rsid w:val="00813A87"/>
    <w:rsid w:val="0081422F"/>
    <w:rsid w:val="00814D52"/>
    <w:rsid w:val="00814FCD"/>
    <w:rsid w:val="00815D23"/>
    <w:rsid w:val="00822670"/>
    <w:rsid w:val="00822719"/>
    <w:rsid w:val="00823C2C"/>
    <w:rsid w:val="00825EFA"/>
    <w:rsid w:val="00830681"/>
    <w:rsid w:val="00830E32"/>
    <w:rsid w:val="008310FB"/>
    <w:rsid w:val="008319BF"/>
    <w:rsid w:val="008339A8"/>
    <w:rsid w:val="00834897"/>
    <w:rsid w:val="008365CD"/>
    <w:rsid w:val="00836870"/>
    <w:rsid w:val="008406E5"/>
    <w:rsid w:val="00840AFE"/>
    <w:rsid w:val="008415A1"/>
    <w:rsid w:val="008435C9"/>
    <w:rsid w:val="00844F85"/>
    <w:rsid w:val="00845273"/>
    <w:rsid w:val="008457AF"/>
    <w:rsid w:val="00847402"/>
    <w:rsid w:val="00852597"/>
    <w:rsid w:val="00854028"/>
    <w:rsid w:val="008544CA"/>
    <w:rsid w:val="0085568B"/>
    <w:rsid w:val="00855B80"/>
    <w:rsid w:val="00855C91"/>
    <w:rsid w:val="00856CB4"/>
    <w:rsid w:val="00857489"/>
    <w:rsid w:val="00857711"/>
    <w:rsid w:val="008607DB"/>
    <w:rsid w:val="0086102C"/>
    <w:rsid w:val="0086154F"/>
    <w:rsid w:val="00862102"/>
    <w:rsid w:val="008658F4"/>
    <w:rsid w:val="008672A7"/>
    <w:rsid w:val="00867662"/>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741A"/>
    <w:rsid w:val="008A1807"/>
    <w:rsid w:val="008A3F28"/>
    <w:rsid w:val="008A4BD3"/>
    <w:rsid w:val="008A5186"/>
    <w:rsid w:val="008B2545"/>
    <w:rsid w:val="008B2892"/>
    <w:rsid w:val="008B2ED1"/>
    <w:rsid w:val="008B3E52"/>
    <w:rsid w:val="008B6C86"/>
    <w:rsid w:val="008B6E8E"/>
    <w:rsid w:val="008C0534"/>
    <w:rsid w:val="008C21B7"/>
    <w:rsid w:val="008C33ED"/>
    <w:rsid w:val="008C527E"/>
    <w:rsid w:val="008C6D8D"/>
    <w:rsid w:val="008C75E9"/>
    <w:rsid w:val="008D0860"/>
    <w:rsid w:val="008D0EF6"/>
    <w:rsid w:val="008D233C"/>
    <w:rsid w:val="008D2381"/>
    <w:rsid w:val="008D2971"/>
    <w:rsid w:val="008D492E"/>
    <w:rsid w:val="008D5B89"/>
    <w:rsid w:val="008D5E68"/>
    <w:rsid w:val="008D60EE"/>
    <w:rsid w:val="008D6C50"/>
    <w:rsid w:val="008D78A5"/>
    <w:rsid w:val="008D79F4"/>
    <w:rsid w:val="008D7CB2"/>
    <w:rsid w:val="008E0AB3"/>
    <w:rsid w:val="008E0EF1"/>
    <w:rsid w:val="008E13F7"/>
    <w:rsid w:val="008E51EB"/>
    <w:rsid w:val="008E6432"/>
    <w:rsid w:val="008E6D88"/>
    <w:rsid w:val="008E6F9A"/>
    <w:rsid w:val="008E6FAB"/>
    <w:rsid w:val="008E79E9"/>
    <w:rsid w:val="008F0542"/>
    <w:rsid w:val="008F11CA"/>
    <w:rsid w:val="008F1D77"/>
    <w:rsid w:val="008F28AA"/>
    <w:rsid w:val="008F66FD"/>
    <w:rsid w:val="008F66FE"/>
    <w:rsid w:val="008F72EA"/>
    <w:rsid w:val="009002F2"/>
    <w:rsid w:val="0090071E"/>
    <w:rsid w:val="009028BE"/>
    <w:rsid w:val="00903037"/>
    <w:rsid w:val="00903E2D"/>
    <w:rsid w:val="00904697"/>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48E"/>
    <w:rsid w:val="00933566"/>
    <w:rsid w:val="00933B83"/>
    <w:rsid w:val="00933BBC"/>
    <w:rsid w:val="009362A9"/>
    <w:rsid w:val="0093665E"/>
    <w:rsid w:val="009367E7"/>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805"/>
    <w:rsid w:val="00952B03"/>
    <w:rsid w:val="009546C4"/>
    <w:rsid w:val="0095639A"/>
    <w:rsid w:val="00956569"/>
    <w:rsid w:val="00956D45"/>
    <w:rsid w:val="00957559"/>
    <w:rsid w:val="00957B34"/>
    <w:rsid w:val="00960505"/>
    <w:rsid w:val="00960705"/>
    <w:rsid w:val="00960B6C"/>
    <w:rsid w:val="00961339"/>
    <w:rsid w:val="00962897"/>
    <w:rsid w:val="00962A3B"/>
    <w:rsid w:val="00963F6F"/>
    <w:rsid w:val="00963F8D"/>
    <w:rsid w:val="009648E7"/>
    <w:rsid w:val="00964AB0"/>
    <w:rsid w:val="009655CB"/>
    <w:rsid w:val="00966DC7"/>
    <w:rsid w:val="00967F02"/>
    <w:rsid w:val="0097022B"/>
    <w:rsid w:val="009704B6"/>
    <w:rsid w:val="00971741"/>
    <w:rsid w:val="00972190"/>
    <w:rsid w:val="00972B6D"/>
    <w:rsid w:val="0097491F"/>
    <w:rsid w:val="009753F7"/>
    <w:rsid w:val="009764E2"/>
    <w:rsid w:val="00977487"/>
    <w:rsid w:val="009816F9"/>
    <w:rsid w:val="00981C9C"/>
    <w:rsid w:val="00982AA2"/>
    <w:rsid w:val="00982B9B"/>
    <w:rsid w:val="00984301"/>
    <w:rsid w:val="00984310"/>
    <w:rsid w:val="009850B5"/>
    <w:rsid w:val="0098584F"/>
    <w:rsid w:val="00986074"/>
    <w:rsid w:val="009867B4"/>
    <w:rsid w:val="00987A97"/>
    <w:rsid w:val="00987E36"/>
    <w:rsid w:val="0099075F"/>
    <w:rsid w:val="009927ED"/>
    <w:rsid w:val="0099298E"/>
    <w:rsid w:val="00992AE8"/>
    <w:rsid w:val="00992CAC"/>
    <w:rsid w:val="00995F66"/>
    <w:rsid w:val="0099698E"/>
    <w:rsid w:val="00996E01"/>
    <w:rsid w:val="009A1849"/>
    <w:rsid w:val="009B1C04"/>
    <w:rsid w:val="009B25C9"/>
    <w:rsid w:val="009B5FE5"/>
    <w:rsid w:val="009B6A8A"/>
    <w:rsid w:val="009B7265"/>
    <w:rsid w:val="009B7C98"/>
    <w:rsid w:val="009C12E0"/>
    <w:rsid w:val="009C3BEE"/>
    <w:rsid w:val="009C42A1"/>
    <w:rsid w:val="009C439C"/>
    <w:rsid w:val="009C4F35"/>
    <w:rsid w:val="009C5518"/>
    <w:rsid w:val="009C6838"/>
    <w:rsid w:val="009D213C"/>
    <w:rsid w:val="009D2978"/>
    <w:rsid w:val="009D2C35"/>
    <w:rsid w:val="009D301B"/>
    <w:rsid w:val="009D568A"/>
    <w:rsid w:val="009D58FB"/>
    <w:rsid w:val="009E0A76"/>
    <w:rsid w:val="009E247D"/>
    <w:rsid w:val="009E282B"/>
    <w:rsid w:val="009E511B"/>
    <w:rsid w:val="009E588A"/>
    <w:rsid w:val="009E5EDF"/>
    <w:rsid w:val="009E6828"/>
    <w:rsid w:val="009E738A"/>
    <w:rsid w:val="009E7D16"/>
    <w:rsid w:val="009F0821"/>
    <w:rsid w:val="009F1871"/>
    <w:rsid w:val="009F1C05"/>
    <w:rsid w:val="009F21E8"/>
    <w:rsid w:val="009F30EE"/>
    <w:rsid w:val="009F320E"/>
    <w:rsid w:val="009F38C3"/>
    <w:rsid w:val="009F3CFA"/>
    <w:rsid w:val="009F5FA6"/>
    <w:rsid w:val="009F6762"/>
    <w:rsid w:val="00A003AC"/>
    <w:rsid w:val="00A00B03"/>
    <w:rsid w:val="00A0179B"/>
    <w:rsid w:val="00A02966"/>
    <w:rsid w:val="00A04B97"/>
    <w:rsid w:val="00A06F5E"/>
    <w:rsid w:val="00A1778A"/>
    <w:rsid w:val="00A17D15"/>
    <w:rsid w:val="00A17FE9"/>
    <w:rsid w:val="00A2055B"/>
    <w:rsid w:val="00A20D40"/>
    <w:rsid w:val="00A2396D"/>
    <w:rsid w:val="00A24248"/>
    <w:rsid w:val="00A24322"/>
    <w:rsid w:val="00A25E0A"/>
    <w:rsid w:val="00A27F30"/>
    <w:rsid w:val="00A30033"/>
    <w:rsid w:val="00A30558"/>
    <w:rsid w:val="00A306DC"/>
    <w:rsid w:val="00A31B46"/>
    <w:rsid w:val="00A3721D"/>
    <w:rsid w:val="00A41AA2"/>
    <w:rsid w:val="00A43236"/>
    <w:rsid w:val="00A461CE"/>
    <w:rsid w:val="00A46D44"/>
    <w:rsid w:val="00A505A8"/>
    <w:rsid w:val="00A50F9A"/>
    <w:rsid w:val="00A51281"/>
    <w:rsid w:val="00A53604"/>
    <w:rsid w:val="00A541F6"/>
    <w:rsid w:val="00A55146"/>
    <w:rsid w:val="00A56EE3"/>
    <w:rsid w:val="00A60516"/>
    <w:rsid w:val="00A61211"/>
    <w:rsid w:val="00A61EDE"/>
    <w:rsid w:val="00A6230D"/>
    <w:rsid w:val="00A6328F"/>
    <w:rsid w:val="00A636C3"/>
    <w:rsid w:val="00A65696"/>
    <w:rsid w:val="00A67A56"/>
    <w:rsid w:val="00A704B8"/>
    <w:rsid w:val="00A73A5D"/>
    <w:rsid w:val="00A74006"/>
    <w:rsid w:val="00A75A7D"/>
    <w:rsid w:val="00A75BD3"/>
    <w:rsid w:val="00A76FDA"/>
    <w:rsid w:val="00A775B4"/>
    <w:rsid w:val="00A80169"/>
    <w:rsid w:val="00A80961"/>
    <w:rsid w:val="00A829A9"/>
    <w:rsid w:val="00A82E90"/>
    <w:rsid w:val="00A86088"/>
    <w:rsid w:val="00A8685F"/>
    <w:rsid w:val="00A87433"/>
    <w:rsid w:val="00A87537"/>
    <w:rsid w:val="00A879F1"/>
    <w:rsid w:val="00A90772"/>
    <w:rsid w:val="00A92756"/>
    <w:rsid w:val="00A93553"/>
    <w:rsid w:val="00A945D3"/>
    <w:rsid w:val="00A9585B"/>
    <w:rsid w:val="00A96090"/>
    <w:rsid w:val="00A9730F"/>
    <w:rsid w:val="00AA01B3"/>
    <w:rsid w:val="00AA0729"/>
    <w:rsid w:val="00AA0C07"/>
    <w:rsid w:val="00AA0ED3"/>
    <w:rsid w:val="00AA2A77"/>
    <w:rsid w:val="00AA3A6C"/>
    <w:rsid w:val="00AA3AAB"/>
    <w:rsid w:val="00AA4E38"/>
    <w:rsid w:val="00AA7308"/>
    <w:rsid w:val="00AA7DA8"/>
    <w:rsid w:val="00AB11F1"/>
    <w:rsid w:val="00AB240C"/>
    <w:rsid w:val="00AB2A77"/>
    <w:rsid w:val="00AB2CD5"/>
    <w:rsid w:val="00AB3935"/>
    <w:rsid w:val="00AB59EF"/>
    <w:rsid w:val="00AB636D"/>
    <w:rsid w:val="00AC0034"/>
    <w:rsid w:val="00AC0682"/>
    <w:rsid w:val="00AC1233"/>
    <w:rsid w:val="00AC1921"/>
    <w:rsid w:val="00AC314A"/>
    <w:rsid w:val="00AC5C28"/>
    <w:rsid w:val="00AC5FAA"/>
    <w:rsid w:val="00AC7643"/>
    <w:rsid w:val="00AC782B"/>
    <w:rsid w:val="00AD0652"/>
    <w:rsid w:val="00AD0F83"/>
    <w:rsid w:val="00AD10A0"/>
    <w:rsid w:val="00AD1FBC"/>
    <w:rsid w:val="00AD2B25"/>
    <w:rsid w:val="00AD33A5"/>
    <w:rsid w:val="00AD4CA8"/>
    <w:rsid w:val="00AD5590"/>
    <w:rsid w:val="00AD755D"/>
    <w:rsid w:val="00AD7C64"/>
    <w:rsid w:val="00AE0779"/>
    <w:rsid w:val="00AE1E63"/>
    <w:rsid w:val="00AE2872"/>
    <w:rsid w:val="00AE3B6B"/>
    <w:rsid w:val="00AE3F16"/>
    <w:rsid w:val="00AE4ED0"/>
    <w:rsid w:val="00AE63B3"/>
    <w:rsid w:val="00AE6979"/>
    <w:rsid w:val="00AE76A8"/>
    <w:rsid w:val="00AE7BFA"/>
    <w:rsid w:val="00AF0032"/>
    <w:rsid w:val="00AF0432"/>
    <w:rsid w:val="00AF0921"/>
    <w:rsid w:val="00AF0958"/>
    <w:rsid w:val="00AF2691"/>
    <w:rsid w:val="00AF2E48"/>
    <w:rsid w:val="00AF39CF"/>
    <w:rsid w:val="00AF4F3A"/>
    <w:rsid w:val="00AF533D"/>
    <w:rsid w:val="00B00051"/>
    <w:rsid w:val="00B0061B"/>
    <w:rsid w:val="00B00A0F"/>
    <w:rsid w:val="00B013E1"/>
    <w:rsid w:val="00B0146B"/>
    <w:rsid w:val="00B02BC2"/>
    <w:rsid w:val="00B02BE7"/>
    <w:rsid w:val="00B033DE"/>
    <w:rsid w:val="00B03AF3"/>
    <w:rsid w:val="00B043F8"/>
    <w:rsid w:val="00B05F07"/>
    <w:rsid w:val="00B06600"/>
    <w:rsid w:val="00B068E4"/>
    <w:rsid w:val="00B06B54"/>
    <w:rsid w:val="00B114B7"/>
    <w:rsid w:val="00B115E8"/>
    <w:rsid w:val="00B12635"/>
    <w:rsid w:val="00B128A4"/>
    <w:rsid w:val="00B1408C"/>
    <w:rsid w:val="00B17192"/>
    <w:rsid w:val="00B17835"/>
    <w:rsid w:val="00B206DE"/>
    <w:rsid w:val="00B209C0"/>
    <w:rsid w:val="00B20B90"/>
    <w:rsid w:val="00B23769"/>
    <w:rsid w:val="00B26A12"/>
    <w:rsid w:val="00B30358"/>
    <w:rsid w:val="00B31307"/>
    <w:rsid w:val="00B33873"/>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8C9"/>
    <w:rsid w:val="00B95EDB"/>
    <w:rsid w:val="00B96515"/>
    <w:rsid w:val="00B96920"/>
    <w:rsid w:val="00B974AF"/>
    <w:rsid w:val="00B97756"/>
    <w:rsid w:val="00B979B5"/>
    <w:rsid w:val="00B97E90"/>
    <w:rsid w:val="00B97FEE"/>
    <w:rsid w:val="00BA0A52"/>
    <w:rsid w:val="00BA0EA2"/>
    <w:rsid w:val="00BA1A57"/>
    <w:rsid w:val="00BA2D5D"/>
    <w:rsid w:val="00BA3689"/>
    <w:rsid w:val="00BA3D91"/>
    <w:rsid w:val="00BA4126"/>
    <w:rsid w:val="00BA473C"/>
    <w:rsid w:val="00BA58F7"/>
    <w:rsid w:val="00BA61BF"/>
    <w:rsid w:val="00BA6AE3"/>
    <w:rsid w:val="00BA6B8C"/>
    <w:rsid w:val="00BB03EB"/>
    <w:rsid w:val="00BB0ABD"/>
    <w:rsid w:val="00BB4930"/>
    <w:rsid w:val="00BB5045"/>
    <w:rsid w:val="00BB64E5"/>
    <w:rsid w:val="00BB698A"/>
    <w:rsid w:val="00BC134A"/>
    <w:rsid w:val="00BC2E4C"/>
    <w:rsid w:val="00BC3463"/>
    <w:rsid w:val="00BC3C87"/>
    <w:rsid w:val="00BC43F2"/>
    <w:rsid w:val="00BC4723"/>
    <w:rsid w:val="00BC63B5"/>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AA3"/>
    <w:rsid w:val="00C05EB1"/>
    <w:rsid w:val="00C05F39"/>
    <w:rsid w:val="00C06C77"/>
    <w:rsid w:val="00C07150"/>
    <w:rsid w:val="00C07228"/>
    <w:rsid w:val="00C10AB6"/>
    <w:rsid w:val="00C1158B"/>
    <w:rsid w:val="00C12806"/>
    <w:rsid w:val="00C12D3D"/>
    <w:rsid w:val="00C146FE"/>
    <w:rsid w:val="00C14887"/>
    <w:rsid w:val="00C1585F"/>
    <w:rsid w:val="00C15DC4"/>
    <w:rsid w:val="00C16E58"/>
    <w:rsid w:val="00C173DD"/>
    <w:rsid w:val="00C17E8E"/>
    <w:rsid w:val="00C201B1"/>
    <w:rsid w:val="00C211FB"/>
    <w:rsid w:val="00C2134D"/>
    <w:rsid w:val="00C236C7"/>
    <w:rsid w:val="00C23BE8"/>
    <w:rsid w:val="00C23EFC"/>
    <w:rsid w:val="00C24C4D"/>
    <w:rsid w:val="00C26A47"/>
    <w:rsid w:val="00C26BBE"/>
    <w:rsid w:val="00C27700"/>
    <w:rsid w:val="00C3027D"/>
    <w:rsid w:val="00C33FB5"/>
    <w:rsid w:val="00C345CC"/>
    <w:rsid w:val="00C348FF"/>
    <w:rsid w:val="00C34DA4"/>
    <w:rsid w:val="00C352AA"/>
    <w:rsid w:val="00C36053"/>
    <w:rsid w:val="00C3629F"/>
    <w:rsid w:val="00C373B7"/>
    <w:rsid w:val="00C378CA"/>
    <w:rsid w:val="00C422EA"/>
    <w:rsid w:val="00C434B9"/>
    <w:rsid w:val="00C47254"/>
    <w:rsid w:val="00C5148B"/>
    <w:rsid w:val="00C514BF"/>
    <w:rsid w:val="00C524DE"/>
    <w:rsid w:val="00C52DE5"/>
    <w:rsid w:val="00C54540"/>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6753A"/>
    <w:rsid w:val="00C70AEE"/>
    <w:rsid w:val="00C72FA2"/>
    <w:rsid w:val="00C73319"/>
    <w:rsid w:val="00C74C66"/>
    <w:rsid w:val="00C759E6"/>
    <w:rsid w:val="00C75C57"/>
    <w:rsid w:val="00C75EB9"/>
    <w:rsid w:val="00C81312"/>
    <w:rsid w:val="00C81390"/>
    <w:rsid w:val="00C8287B"/>
    <w:rsid w:val="00C82B52"/>
    <w:rsid w:val="00C82BEA"/>
    <w:rsid w:val="00C8316C"/>
    <w:rsid w:val="00C841B4"/>
    <w:rsid w:val="00C8463E"/>
    <w:rsid w:val="00C86BAE"/>
    <w:rsid w:val="00C87140"/>
    <w:rsid w:val="00C90211"/>
    <w:rsid w:val="00C910E4"/>
    <w:rsid w:val="00C9150F"/>
    <w:rsid w:val="00C92110"/>
    <w:rsid w:val="00C926F9"/>
    <w:rsid w:val="00C934BE"/>
    <w:rsid w:val="00C95264"/>
    <w:rsid w:val="00C95667"/>
    <w:rsid w:val="00C96BA3"/>
    <w:rsid w:val="00CA0F5E"/>
    <w:rsid w:val="00CA1A1F"/>
    <w:rsid w:val="00CA240E"/>
    <w:rsid w:val="00CA51E1"/>
    <w:rsid w:val="00CA5D9C"/>
    <w:rsid w:val="00CA5E24"/>
    <w:rsid w:val="00CB015C"/>
    <w:rsid w:val="00CB171F"/>
    <w:rsid w:val="00CB1765"/>
    <w:rsid w:val="00CB185F"/>
    <w:rsid w:val="00CB21C1"/>
    <w:rsid w:val="00CB3BF5"/>
    <w:rsid w:val="00CB3E84"/>
    <w:rsid w:val="00CB49F4"/>
    <w:rsid w:val="00CB4C13"/>
    <w:rsid w:val="00CB655B"/>
    <w:rsid w:val="00CC10C2"/>
    <w:rsid w:val="00CC2864"/>
    <w:rsid w:val="00CC32ED"/>
    <w:rsid w:val="00CC3639"/>
    <w:rsid w:val="00CC38EF"/>
    <w:rsid w:val="00CC5662"/>
    <w:rsid w:val="00CC5AE6"/>
    <w:rsid w:val="00CC630A"/>
    <w:rsid w:val="00CC756B"/>
    <w:rsid w:val="00CD0086"/>
    <w:rsid w:val="00CD0565"/>
    <w:rsid w:val="00CD3B62"/>
    <w:rsid w:val="00CD48D1"/>
    <w:rsid w:val="00CD556F"/>
    <w:rsid w:val="00CD71BD"/>
    <w:rsid w:val="00CD7A6F"/>
    <w:rsid w:val="00CE04F8"/>
    <w:rsid w:val="00CE06F6"/>
    <w:rsid w:val="00CE1377"/>
    <w:rsid w:val="00CE3D54"/>
    <w:rsid w:val="00CE4288"/>
    <w:rsid w:val="00CE461B"/>
    <w:rsid w:val="00CE4D13"/>
    <w:rsid w:val="00CE5AE6"/>
    <w:rsid w:val="00CE6E34"/>
    <w:rsid w:val="00CE707A"/>
    <w:rsid w:val="00CE7A1B"/>
    <w:rsid w:val="00CF0F8C"/>
    <w:rsid w:val="00CF111F"/>
    <w:rsid w:val="00CF1F51"/>
    <w:rsid w:val="00CF2CB1"/>
    <w:rsid w:val="00CF4226"/>
    <w:rsid w:val="00CF6006"/>
    <w:rsid w:val="00D01082"/>
    <w:rsid w:val="00D0292F"/>
    <w:rsid w:val="00D02B66"/>
    <w:rsid w:val="00D031D3"/>
    <w:rsid w:val="00D0398B"/>
    <w:rsid w:val="00D048C0"/>
    <w:rsid w:val="00D04934"/>
    <w:rsid w:val="00D05708"/>
    <w:rsid w:val="00D05E6F"/>
    <w:rsid w:val="00D10790"/>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11DC"/>
    <w:rsid w:val="00D33056"/>
    <w:rsid w:val="00D3395E"/>
    <w:rsid w:val="00D34CCD"/>
    <w:rsid w:val="00D36489"/>
    <w:rsid w:val="00D36501"/>
    <w:rsid w:val="00D4047B"/>
    <w:rsid w:val="00D4072B"/>
    <w:rsid w:val="00D41657"/>
    <w:rsid w:val="00D41714"/>
    <w:rsid w:val="00D41AE2"/>
    <w:rsid w:val="00D41CF7"/>
    <w:rsid w:val="00D422B3"/>
    <w:rsid w:val="00D42A53"/>
    <w:rsid w:val="00D42CA0"/>
    <w:rsid w:val="00D43E49"/>
    <w:rsid w:val="00D4536E"/>
    <w:rsid w:val="00D45D27"/>
    <w:rsid w:val="00D461C4"/>
    <w:rsid w:val="00D472C5"/>
    <w:rsid w:val="00D510B7"/>
    <w:rsid w:val="00D51439"/>
    <w:rsid w:val="00D51BDF"/>
    <w:rsid w:val="00D51DBF"/>
    <w:rsid w:val="00D5204B"/>
    <w:rsid w:val="00D52218"/>
    <w:rsid w:val="00D53DE3"/>
    <w:rsid w:val="00D54796"/>
    <w:rsid w:val="00D55AE3"/>
    <w:rsid w:val="00D57489"/>
    <w:rsid w:val="00D6298B"/>
    <w:rsid w:val="00D64BE2"/>
    <w:rsid w:val="00D66304"/>
    <w:rsid w:val="00D66C41"/>
    <w:rsid w:val="00D6783C"/>
    <w:rsid w:val="00D67906"/>
    <w:rsid w:val="00D67E5A"/>
    <w:rsid w:val="00D67F43"/>
    <w:rsid w:val="00D70096"/>
    <w:rsid w:val="00D70567"/>
    <w:rsid w:val="00D70B50"/>
    <w:rsid w:val="00D71AFA"/>
    <w:rsid w:val="00D7331A"/>
    <w:rsid w:val="00D74BCE"/>
    <w:rsid w:val="00D774EE"/>
    <w:rsid w:val="00D8075C"/>
    <w:rsid w:val="00D8111C"/>
    <w:rsid w:val="00D82E2D"/>
    <w:rsid w:val="00D837EC"/>
    <w:rsid w:val="00D849E4"/>
    <w:rsid w:val="00D85AA6"/>
    <w:rsid w:val="00D8730C"/>
    <w:rsid w:val="00D87CB9"/>
    <w:rsid w:val="00D90226"/>
    <w:rsid w:val="00D93735"/>
    <w:rsid w:val="00D95D3E"/>
    <w:rsid w:val="00DA084E"/>
    <w:rsid w:val="00DA18A9"/>
    <w:rsid w:val="00DA3060"/>
    <w:rsid w:val="00DA33CF"/>
    <w:rsid w:val="00DA3CC3"/>
    <w:rsid w:val="00DA3DA0"/>
    <w:rsid w:val="00DA3E25"/>
    <w:rsid w:val="00DA3FE1"/>
    <w:rsid w:val="00DA433D"/>
    <w:rsid w:val="00DA491A"/>
    <w:rsid w:val="00DA4A1D"/>
    <w:rsid w:val="00DB0FD3"/>
    <w:rsid w:val="00DB11DC"/>
    <w:rsid w:val="00DB2D3E"/>
    <w:rsid w:val="00DB654B"/>
    <w:rsid w:val="00DB69AD"/>
    <w:rsid w:val="00DB75BB"/>
    <w:rsid w:val="00DC009E"/>
    <w:rsid w:val="00DC0E44"/>
    <w:rsid w:val="00DC1278"/>
    <w:rsid w:val="00DC1B5E"/>
    <w:rsid w:val="00DC449E"/>
    <w:rsid w:val="00DC4AE6"/>
    <w:rsid w:val="00DC546D"/>
    <w:rsid w:val="00DC5E77"/>
    <w:rsid w:val="00DC6CE5"/>
    <w:rsid w:val="00DD02A6"/>
    <w:rsid w:val="00DD079E"/>
    <w:rsid w:val="00DD1C2D"/>
    <w:rsid w:val="00DD21EB"/>
    <w:rsid w:val="00DD259F"/>
    <w:rsid w:val="00DD5DF8"/>
    <w:rsid w:val="00DD5EEC"/>
    <w:rsid w:val="00DD6363"/>
    <w:rsid w:val="00DD68C8"/>
    <w:rsid w:val="00DE01F8"/>
    <w:rsid w:val="00DE07FA"/>
    <w:rsid w:val="00DE08AE"/>
    <w:rsid w:val="00DE268D"/>
    <w:rsid w:val="00DE400F"/>
    <w:rsid w:val="00DE5CD8"/>
    <w:rsid w:val="00DE60EC"/>
    <w:rsid w:val="00DE74EF"/>
    <w:rsid w:val="00DF2A32"/>
    <w:rsid w:val="00DF3E3D"/>
    <w:rsid w:val="00DF430C"/>
    <w:rsid w:val="00DF4774"/>
    <w:rsid w:val="00DF4BAF"/>
    <w:rsid w:val="00DF58D9"/>
    <w:rsid w:val="00DF5A04"/>
    <w:rsid w:val="00DF5D0F"/>
    <w:rsid w:val="00DF78B6"/>
    <w:rsid w:val="00DF7E7B"/>
    <w:rsid w:val="00E01FA8"/>
    <w:rsid w:val="00E02EFF"/>
    <w:rsid w:val="00E02FFB"/>
    <w:rsid w:val="00E035D0"/>
    <w:rsid w:val="00E03C10"/>
    <w:rsid w:val="00E04395"/>
    <w:rsid w:val="00E05609"/>
    <w:rsid w:val="00E058B6"/>
    <w:rsid w:val="00E07CA0"/>
    <w:rsid w:val="00E12F87"/>
    <w:rsid w:val="00E13F91"/>
    <w:rsid w:val="00E1447B"/>
    <w:rsid w:val="00E1454F"/>
    <w:rsid w:val="00E15E8A"/>
    <w:rsid w:val="00E2027F"/>
    <w:rsid w:val="00E20330"/>
    <w:rsid w:val="00E22BC6"/>
    <w:rsid w:val="00E22FCF"/>
    <w:rsid w:val="00E23C1C"/>
    <w:rsid w:val="00E23C20"/>
    <w:rsid w:val="00E23DF6"/>
    <w:rsid w:val="00E2600A"/>
    <w:rsid w:val="00E27114"/>
    <w:rsid w:val="00E271C8"/>
    <w:rsid w:val="00E322A7"/>
    <w:rsid w:val="00E32B86"/>
    <w:rsid w:val="00E33158"/>
    <w:rsid w:val="00E33BF4"/>
    <w:rsid w:val="00E350D2"/>
    <w:rsid w:val="00E35231"/>
    <w:rsid w:val="00E35521"/>
    <w:rsid w:val="00E36C60"/>
    <w:rsid w:val="00E36FD3"/>
    <w:rsid w:val="00E37E78"/>
    <w:rsid w:val="00E37F84"/>
    <w:rsid w:val="00E42604"/>
    <w:rsid w:val="00E431CB"/>
    <w:rsid w:val="00E433FE"/>
    <w:rsid w:val="00E43ACF"/>
    <w:rsid w:val="00E44E2C"/>
    <w:rsid w:val="00E50284"/>
    <w:rsid w:val="00E507EC"/>
    <w:rsid w:val="00E52BDB"/>
    <w:rsid w:val="00E52E08"/>
    <w:rsid w:val="00E533C6"/>
    <w:rsid w:val="00E56C4A"/>
    <w:rsid w:val="00E56FF3"/>
    <w:rsid w:val="00E61508"/>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AFF"/>
    <w:rsid w:val="00E84D5A"/>
    <w:rsid w:val="00E84E74"/>
    <w:rsid w:val="00E856DA"/>
    <w:rsid w:val="00E86014"/>
    <w:rsid w:val="00E86166"/>
    <w:rsid w:val="00E86E36"/>
    <w:rsid w:val="00E93735"/>
    <w:rsid w:val="00E93FBF"/>
    <w:rsid w:val="00E9454A"/>
    <w:rsid w:val="00E96DC6"/>
    <w:rsid w:val="00E97AAB"/>
    <w:rsid w:val="00EA1D2E"/>
    <w:rsid w:val="00EA5620"/>
    <w:rsid w:val="00EA59FC"/>
    <w:rsid w:val="00EA63E8"/>
    <w:rsid w:val="00EA63F1"/>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A6B"/>
    <w:rsid w:val="00ED4FDC"/>
    <w:rsid w:val="00ED58A4"/>
    <w:rsid w:val="00EE2FC0"/>
    <w:rsid w:val="00EE6B5A"/>
    <w:rsid w:val="00EE77BD"/>
    <w:rsid w:val="00EF1C7D"/>
    <w:rsid w:val="00EF3AC5"/>
    <w:rsid w:val="00EF421E"/>
    <w:rsid w:val="00EF694A"/>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15548"/>
    <w:rsid w:val="00F20B3E"/>
    <w:rsid w:val="00F215FF"/>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2360"/>
    <w:rsid w:val="00F523A4"/>
    <w:rsid w:val="00F5260C"/>
    <w:rsid w:val="00F52817"/>
    <w:rsid w:val="00F530A8"/>
    <w:rsid w:val="00F537CC"/>
    <w:rsid w:val="00F54027"/>
    <w:rsid w:val="00F55674"/>
    <w:rsid w:val="00F576FB"/>
    <w:rsid w:val="00F621D0"/>
    <w:rsid w:val="00F626C3"/>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6F9F"/>
    <w:rsid w:val="00F775CB"/>
    <w:rsid w:val="00F800EE"/>
    <w:rsid w:val="00F80DDD"/>
    <w:rsid w:val="00F8102B"/>
    <w:rsid w:val="00F8146B"/>
    <w:rsid w:val="00F820A6"/>
    <w:rsid w:val="00F821ED"/>
    <w:rsid w:val="00F838B3"/>
    <w:rsid w:val="00F8417D"/>
    <w:rsid w:val="00F84383"/>
    <w:rsid w:val="00F86335"/>
    <w:rsid w:val="00F871E4"/>
    <w:rsid w:val="00F87A41"/>
    <w:rsid w:val="00F87E61"/>
    <w:rsid w:val="00F9142C"/>
    <w:rsid w:val="00F9186D"/>
    <w:rsid w:val="00F91D76"/>
    <w:rsid w:val="00F9275F"/>
    <w:rsid w:val="00F92BAC"/>
    <w:rsid w:val="00F9335B"/>
    <w:rsid w:val="00F93854"/>
    <w:rsid w:val="00F93DD8"/>
    <w:rsid w:val="00F94FBB"/>
    <w:rsid w:val="00F9579B"/>
    <w:rsid w:val="00F95EE1"/>
    <w:rsid w:val="00FA008C"/>
    <w:rsid w:val="00FA0090"/>
    <w:rsid w:val="00FA1D37"/>
    <w:rsid w:val="00FA3F16"/>
    <w:rsid w:val="00FA41AF"/>
    <w:rsid w:val="00FA7213"/>
    <w:rsid w:val="00FB188D"/>
    <w:rsid w:val="00FB1944"/>
    <w:rsid w:val="00FB1A8D"/>
    <w:rsid w:val="00FB1FB9"/>
    <w:rsid w:val="00FB20CC"/>
    <w:rsid w:val="00FB2FFE"/>
    <w:rsid w:val="00FB3451"/>
    <w:rsid w:val="00FB3535"/>
    <w:rsid w:val="00FB444E"/>
    <w:rsid w:val="00FB4673"/>
    <w:rsid w:val="00FB6BBA"/>
    <w:rsid w:val="00FB6FFB"/>
    <w:rsid w:val="00FB7AE3"/>
    <w:rsid w:val="00FB7F0A"/>
    <w:rsid w:val="00FC0ACB"/>
    <w:rsid w:val="00FC1410"/>
    <w:rsid w:val="00FC2732"/>
    <w:rsid w:val="00FC344A"/>
    <w:rsid w:val="00FC390D"/>
    <w:rsid w:val="00FC3CF8"/>
    <w:rsid w:val="00FC4562"/>
    <w:rsid w:val="00FC4798"/>
    <w:rsid w:val="00FC4A61"/>
    <w:rsid w:val="00FC5C4A"/>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2C70"/>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Citation List,본문(내용),List Paragraph (numbered (a)),body 2,List Paragraph1,List Paragraph11,bullets,Arial,List_Paragraph,Multilevel para_II,Paragraph,ANNEX,Bullet,bullet,bu,b,bullet1,B,b1,bullet 1,body,b Char Char Char"/>
    <w:basedOn w:val="Normal"/>
    <w:link w:val="ListParagraphChar"/>
    <w:uiPriority w:val="34"/>
    <w:qFormat/>
    <w:rsid w:val="00E86E36"/>
    <w:pPr>
      <w:ind w:left="720"/>
      <w:contextualSpacing/>
    </w:pPr>
  </w:style>
  <w:style w:type="paragraph" w:styleId="Header">
    <w:name w:val="header"/>
    <w:basedOn w:val="Normal"/>
    <w:link w:val="HeaderChar"/>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body 2 Char,List Paragraph1 Char,List Paragraph11 Char,bullets Char,Arial Char,List_Paragraph Char,Multilevel para_II Char,Paragraph Char,ANNEX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BodyText">
    <w:name w:val="Body Text"/>
    <w:basedOn w:val="Normal"/>
    <w:link w:val="BodyTextChar"/>
    <w:rsid w:val="000D7126"/>
    <w:pPr>
      <w:spacing w:after="0" w:line="240" w:lineRule="auto"/>
      <w:jc w:val="both"/>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0D7126"/>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Citation List,본문(내용),List Paragraph (numbered (a)),body 2,List Paragraph1,List Paragraph11,bullets,Arial,List_Paragraph,Multilevel para_II,Paragraph,ANNEX,Bullet,bullet,bu,b,bullet1,B,b1,bullet 1,body,b Char Char Char"/>
    <w:basedOn w:val="Normal"/>
    <w:link w:val="ListParagraphChar"/>
    <w:uiPriority w:val="34"/>
    <w:qFormat/>
    <w:rsid w:val="00E86E36"/>
    <w:pPr>
      <w:ind w:left="720"/>
      <w:contextualSpacing/>
    </w:pPr>
  </w:style>
  <w:style w:type="paragraph" w:styleId="Header">
    <w:name w:val="header"/>
    <w:basedOn w:val="Normal"/>
    <w:link w:val="HeaderChar"/>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body 2 Char,List Paragraph1 Char,List Paragraph11 Char,bullets Char,Arial Char,List_Paragraph Char,Multilevel para_II Char,Paragraph Char,ANNEX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BodyText">
    <w:name w:val="Body Text"/>
    <w:basedOn w:val="Normal"/>
    <w:link w:val="BodyTextChar"/>
    <w:rsid w:val="000D7126"/>
    <w:pPr>
      <w:spacing w:after="0" w:line="240" w:lineRule="auto"/>
      <w:jc w:val="both"/>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0D7126"/>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393892600">
      <w:bodyDiv w:val="1"/>
      <w:marLeft w:val="0"/>
      <w:marRight w:val="0"/>
      <w:marTop w:val="0"/>
      <w:marBottom w:val="0"/>
      <w:divBdr>
        <w:top w:val="none" w:sz="0" w:space="0" w:color="auto"/>
        <w:left w:val="none" w:sz="0" w:space="0" w:color="auto"/>
        <w:bottom w:val="none" w:sz="0" w:space="0" w:color="auto"/>
        <w:right w:val="none" w:sz="0" w:space="0" w:color="auto"/>
      </w:divBdr>
    </w:div>
    <w:div w:id="1047073668">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52395150">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5A77-C697-4FAF-BAD8-2A0288CB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user</cp:lastModifiedBy>
  <cp:revision>3</cp:revision>
  <dcterms:created xsi:type="dcterms:W3CDTF">2026-06-16T10:28:00Z</dcterms:created>
  <dcterms:modified xsi:type="dcterms:W3CDTF">2026-06-22T07:34:00Z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