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4F75" w14:textId="29A19998"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1559AC35" w14:textId="77777777" w:rsidR="00B76B31" w:rsidRDefault="001C1322" w:rsidP="00B76B31">
      <w:pPr>
        <w:tabs>
          <w:tab w:val="left" w:pos="3820"/>
        </w:tabs>
        <w:spacing w:line="276" w:lineRule="auto"/>
        <w:jc w:val="center"/>
        <w:rPr>
          <w:b/>
          <w:bCs/>
        </w:rPr>
      </w:pPr>
      <w:r w:rsidRPr="001C1322">
        <w:rPr>
          <w:rFonts w:ascii="Times New Roman" w:eastAsia="Times New Roman" w:hAnsi="Times New Roman" w:cs="Times New Roman"/>
          <w:b/>
          <w:bCs/>
        </w:rPr>
        <w:t xml:space="preserve">Achiziție </w:t>
      </w:r>
      <w:bookmarkStart w:id="0" w:name="_Hlk229571447"/>
      <w:r w:rsidR="00B76B31" w:rsidRPr="00491BFB">
        <w:rPr>
          <w:b/>
          <w:bCs/>
        </w:rPr>
        <w:t xml:space="preserve">Echipamente </w:t>
      </w:r>
      <w:r w:rsidR="00B76B31">
        <w:rPr>
          <w:b/>
          <w:bCs/>
        </w:rPr>
        <w:t xml:space="preserve">infrastructura IoT si Kit Laborator virtual </w:t>
      </w:r>
    </w:p>
    <w:p w14:paraId="2D8CA952" w14:textId="2C302334" w:rsidR="001C1322" w:rsidRPr="001C1322" w:rsidRDefault="00B76B31" w:rsidP="00B76B31">
      <w:pPr>
        <w:tabs>
          <w:tab w:val="left" w:pos="3820"/>
        </w:tabs>
        <w:spacing w:line="276" w:lineRule="auto"/>
        <w:jc w:val="center"/>
        <w:rPr>
          <w:rFonts w:ascii="Times New Roman" w:eastAsia="Times New Roman" w:hAnsi="Times New Roman" w:cs="Times New Roman"/>
          <w:b/>
          <w:bCs/>
        </w:rPr>
      </w:pPr>
      <w:r w:rsidRPr="00D07D96">
        <w:rPr>
          <w:bCs/>
        </w:rPr>
        <w:t>pentru</w:t>
      </w:r>
      <w:r>
        <w:rPr>
          <w:b/>
          <w:bCs/>
        </w:rPr>
        <w:t xml:space="preserve"> Proiect CONECTINNO</w:t>
      </w:r>
      <w:r w:rsidRPr="00491BFB">
        <w:rPr>
          <w:b/>
          <w:bCs/>
        </w:rPr>
        <w:t xml:space="preserve">, cod </w:t>
      </w:r>
      <w:r w:rsidRPr="00D07D96">
        <w:rPr>
          <w:b/>
          <w:sz w:val="20"/>
          <w:szCs w:val="20"/>
        </w:rPr>
        <w:t>ROMD00495</w:t>
      </w:r>
      <w:bookmarkEnd w:id="0"/>
    </w:p>
    <w:p w14:paraId="0A24E4E1" w14:textId="77777777" w:rsidR="00B42FE7" w:rsidRPr="00E0776D" w:rsidRDefault="00B42FE7" w:rsidP="00FD03D6">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Nr. [</w:t>
      </w:r>
      <w:r w:rsidRPr="00E0776D">
        <w:rPr>
          <w:rFonts w:ascii="Times New Roman" w:hAnsi="Times New Roman" w:cs="Times New Roman"/>
          <w:i/>
          <w:sz w:val="20"/>
          <w:szCs w:val="20"/>
        </w:rPr>
        <w:t>numărul Contractului</w:t>
      </w:r>
      <w:r w:rsidRPr="00E0776D">
        <w:rPr>
          <w:rFonts w:ascii="Times New Roman" w:hAnsi="Times New Roman" w:cs="Times New Roman"/>
          <w:sz w:val="20"/>
          <w:szCs w:val="20"/>
        </w:rPr>
        <w:t>] din data [</w:t>
      </w:r>
      <w:r w:rsidRPr="00E0776D">
        <w:rPr>
          <w:rFonts w:ascii="Times New Roman" w:hAnsi="Times New Roman" w:cs="Times New Roman"/>
          <w:i/>
          <w:sz w:val="20"/>
          <w:szCs w:val="20"/>
        </w:rPr>
        <w:t>zz/ll/aaaa</w:t>
      </w:r>
      <w:r w:rsidRPr="00E0776D">
        <w:rPr>
          <w:rFonts w:ascii="Times New Roman" w:hAnsi="Times New Roman" w:cs="Times New Roman"/>
          <w:sz w:val="20"/>
          <w:szCs w:val="20"/>
        </w:rPr>
        <w:t>]</w:t>
      </w:r>
    </w:p>
    <w:p w14:paraId="234B6BC5" w14:textId="09E971E8" w:rsidR="00B42FE7" w:rsidRPr="00E0776D" w:rsidRDefault="00B42FE7" w:rsidP="007A2A80">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217079" w:rsidRPr="004604DA">
        <w:rPr>
          <w:rFonts w:ascii="Times New Roman" w:hAnsi="Times New Roman" w:cs="Times New Roman"/>
          <w:i/>
          <w:sz w:val="20"/>
          <w:szCs w:val="20"/>
        </w:rPr>
        <w:t xml:space="preserve"> </w:t>
      </w:r>
      <w:r w:rsidRPr="00E0776D">
        <w:rPr>
          <w:rFonts w:ascii="Times New Roman" w:hAnsi="Times New Roman" w:cs="Times New Roman"/>
          <w:sz w:val="20"/>
          <w:szCs w:val="20"/>
        </w:rPr>
        <w:t>precum și orice alte prevederi legale emise în aplicarea acesteia</w:t>
      </w:r>
    </w:p>
    <w:p w14:paraId="1F721DE4" w14:textId="77777777" w:rsidR="00B42FE7" w:rsidRPr="00E0776D" w:rsidRDefault="00B42FE7" w:rsidP="00185EB8">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14:paraId="77F1659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1DCF2799" w14:textId="51142C71" w:rsidR="00CF1A29" w:rsidRPr="00CF1A29" w:rsidRDefault="00612B01" w:rsidP="00CF1A29">
      <w:pPr>
        <w:spacing w:before="120" w:after="120" w:line="276" w:lineRule="auto"/>
        <w:ind w:left="1"/>
        <w:jc w:val="both"/>
        <w:rPr>
          <w:rFonts w:ascii="Times New Roman" w:hAnsi="Times New Roman" w:cs="Times New Roman"/>
          <w:sz w:val="20"/>
          <w:szCs w:val="20"/>
        </w:rPr>
      </w:pPr>
      <w:r w:rsidRPr="00612B01">
        <w:rPr>
          <w:rFonts w:ascii="Times New Roman" w:hAnsi="Times New Roman" w:cs="Times New Roman"/>
          <w:b/>
          <w:bCs/>
          <w:sz w:val="20"/>
          <w:szCs w:val="20"/>
        </w:rPr>
        <w:t xml:space="preserve">Universitatea Tehnică „Gheorghe Asachi” din Iaşi, </w:t>
      </w:r>
      <w:r w:rsidRPr="00612B01">
        <w:rPr>
          <w:rFonts w:ascii="Times New Roman" w:hAnsi="Times New Roman" w:cs="Times New Roman"/>
          <w:sz w:val="20"/>
          <w:szCs w:val="20"/>
        </w:rPr>
        <w:t xml:space="preserve">adresa/sediul B-dul Prof. Dimitrie Mangeron nr. 67, Imobil T, Iaşi, telefon/fax 0232-216853, ce funcţionează în baza Legii nr. 1360/1937 și a Hotărârii Guvernului nr. 731 / 28.06.2024 – anexa 3 – poz.28, cod fiscal 4701606, Cod IBAN: </w:t>
      </w:r>
      <w:r>
        <w:rPr>
          <w:rFonts w:ascii="Times New Roman" w:hAnsi="Times New Roman" w:cs="Times New Roman"/>
          <w:sz w:val="20"/>
          <w:szCs w:val="20"/>
        </w:rPr>
        <w:t>.............................</w:t>
      </w:r>
      <w:r w:rsidRPr="00612B01">
        <w:rPr>
          <w:rFonts w:ascii="Times New Roman" w:hAnsi="Times New Roman" w:cs="Times New Roman"/>
          <w:sz w:val="20"/>
          <w:szCs w:val="20"/>
        </w:rPr>
        <w:t xml:space="preserve">, deschis la Trezoreria Iaşi, reprezentată prin: Prof.univ.dr.ing. Dan Cașcaval – Rector, Ec. </w:t>
      </w:r>
      <w:r w:rsidR="00C12AF1">
        <w:rPr>
          <w:rFonts w:ascii="Times New Roman" w:hAnsi="Times New Roman" w:cs="Times New Roman"/>
          <w:sz w:val="20"/>
          <w:szCs w:val="20"/>
        </w:rPr>
        <w:t>Petronela Ghețeu</w:t>
      </w:r>
      <w:r w:rsidRPr="00612B01">
        <w:rPr>
          <w:rFonts w:ascii="Times New Roman" w:hAnsi="Times New Roman" w:cs="Times New Roman"/>
          <w:sz w:val="20"/>
          <w:szCs w:val="20"/>
        </w:rPr>
        <w:t xml:space="preserve"> – Director Economic, în calitate de achizitor și</w:t>
      </w:r>
      <w:r w:rsidRPr="00612B01">
        <w:rPr>
          <w:rFonts w:ascii="Times New Roman" w:hAnsi="Times New Roman" w:cs="Times New Roman"/>
          <w:b/>
          <w:bCs/>
          <w:sz w:val="20"/>
          <w:szCs w:val="20"/>
        </w:rPr>
        <w:t xml:space="preserve"> </w:t>
      </w:r>
      <w:r w:rsidR="00CF1A29" w:rsidRPr="00CF1A29">
        <w:rPr>
          <w:rFonts w:ascii="Times New Roman" w:hAnsi="Times New Roman" w:cs="Times New Roman"/>
          <w:sz w:val="20"/>
          <w:szCs w:val="20"/>
        </w:rPr>
        <w:t>denumită în continuare „Beneficiar” pe de altă parte,</w:t>
      </w:r>
    </w:p>
    <w:p w14:paraId="6C81BBB4" w14:textId="75E99A3E" w:rsidR="00B42FE7" w:rsidRPr="00E0776D" w:rsidRDefault="00B42FE7" w:rsidP="00CF1A29">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46B70F2C"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14:paraId="77FFF0DD" w14:textId="6F19911E"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185EB8">
        <w:rPr>
          <w:rFonts w:ascii="Times New Roman" w:hAnsi="Times New Roman" w:cs="Times New Roman"/>
          <w:i/>
          <w:sz w:val="20"/>
          <w:szCs w:val="20"/>
        </w:rPr>
        <w:t>;</w:t>
      </w:r>
    </w:p>
    <w:p w14:paraId="0B77DA7C" w14:textId="6BCDC9A9"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28CABBC4"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2E5AE3B3"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494F37" w:rsidRPr="0055701B">
        <w:rPr>
          <w:rFonts w:ascii="Times New Roman" w:hAnsi="Times New Roman" w:cs="Times New Roman"/>
          <w:i/>
          <w:sz w:val="20"/>
          <w:szCs w:val="20"/>
        </w:rPr>
        <w:t xml:space="preserve"> Legii nr. 99/2016</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14:paraId="5BE1B9BA" w14:textId="6FDE2690" w:rsidR="00B151CE"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B151C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691D0BC6"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1A5994E2"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Pr="00E0776D">
        <w:rPr>
          <w:rFonts w:ascii="Times New Roman" w:hAnsi="Times New Roman" w:cs="Times New Roman"/>
          <w:sz w:val="20"/>
          <w:szCs w:val="20"/>
        </w:rPr>
        <w:t>și a normelor de aplicare a acesteia;</w:t>
      </w:r>
    </w:p>
    <w:p w14:paraId="7136B11E" w14:textId="0BCD00D0"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14:paraId="501FA5FD" w14:textId="446AB901" w:rsidR="0098041A" w:rsidRPr="00E0776D"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cs="Times New Roman"/>
          <w:sz w:val="20"/>
          <w:szCs w:val="20"/>
        </w:rPr>
        <w:t>;</w:t>
      </w:r>
    </w:p>
    <w:p w14:paraId="32BEE83B"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w:t>
      </w:r>
      <w:r w:rsidRPr="000E4F9F">
        <w:rPr>
          <w:rFonts w:ascii="Times New Roman" w:hAnsi="Times New Roman" w:cs="Times New Roman"/>
          <w:sz w:val="20"/>
          <w:szCs w:val="20"/>
        </w:rPr>
        <w:t xml:space="preserve">documentul prin care </w:t>
      </w:r>
      <w:r w:rsidR="00497880" w:rsidRPr="000E4F9F">
        <w:rPr>
          <w:rFonts w:ascii="Times New Roman" w:hAnsi="Times New Roman" w:cs="Times New Roman"/>
          <w:sz w:val="20"/>
          <w:szCs w:val="20"/>
        </w:rPr>
        <w:t xml:space="preserve">AC/EC își exprimă acordul cu privire la faptul că </w:t>
      </w:r>
      <w:r w:rsidRPr="000E4F9F">
        <w:rPr>
          <w:rFonts w:ascii="Times New Roman" w:hAnsi="Times New Roman" w:cs="Times New Roman"/>
          <w:sz w:val="20"/>
          <w:szCs w:val="20"/>
        </w:rPr>
        <w:t xml:space="preserve">sunt acceptate </w:t>
      </w:r>
      <w:r w:rsidR="00203BAC" w:rsidRPr="000E4F9F">
        <w:rPr>
          <w:rFonts w:ascii="Times New Roman" w:hAnsi="Times New Roman" w:cs="Times New Roman"/>
          <w:sz w:val="20"/>
          <w:szCs w:val="20"/>
        </w:rPr>
        <w:t>Produsele furnizate</w:t>
      </w:r>
      <w:r w:rsidRPr="000E4F9F">
        <w:rPr>
          <w:rFonts w:ascii="Times New Roman" w:hAnsi="Times New Roman" w:cs="Times New Roman"/>
          <w:sz w:val="20"/>
          <w:szCs w:val="20"/>
        </w:rPr>
        <w:t>, întocmit de Contractant și semnat de Autoritatea</w:t>
      </w:r>
      <w:r w:rsidR="00203BAC" w:rsidRPr="000E4F9F">
        <w:rPr>
          <w:rFonts w:ascii="Times New Roman" w:hAnsi="Times New Roman" w:cs="Times New Roman"/>
          <w:sz w:val="20"/>
          <w:szCs w:val="20"/>
        </w:rPr>
        <w:t>/entitatea</w:t>
      </w:r>
      <w:r w:rsidRPr="000E4F9F">
        <w:rPr>
          <w:rFonts w:ascii="Times New Roman" w:hAnsi="Times New Roman" w:cs="Times New Roman"/>
          <w:sz w:val="20"/>
          <w:szCs w:val="20"/>
        </w:rPr>
        <w:t xml:space="preserve"> contractantă, prin care ace</w:t>
      </w:r>
      <w:r w:rsidR="00D657A5" w:rsidRPr="000E4F9F">
        <w:rPr>
          <w:rFonts w:ascii="Times New Roman" w:hAnsi="Times New Roman" w:cs="Times New Roman"/>
          <w:sz w:val="20"/>
          <w:szCs w:val="20"/>
        </w:rPr>
        <w:t>a</w:t>
      </w:r>
      <w:r w:rsidRPr="000E4F9F">
        <w:rPr>
          <w:rFonts w:ascii="Times New Roman" w:hAnsi="Times New Roman" w:cs="Times New Roman"/>
          <w:sz w:val="20"/>
          <w:szCs w:val="20"/>
        </w:rPr>
        <w:t xml:space="preserve">sta din urmă confirmă </w:t>
      </w:r>
      <w:r w:rsidR="00203BAC" w:rsidRPr="000E4F9F">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14:paraId="6A3DA071" w14:textId="29FD0162"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5467817A" w:rsidR="00EE1B24" w:rsidRPr="00E0776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11C46662" w:rsidR="004D3CE5" w:rsidRPr="0091731A" w:rsidRDefault="004D3CE5" w:rsidP="007C5737">
      <w:pPr>
        <w:pStyle w:val="ListParagraph"/>
        <w:numPr>
          <w:ilvl w:val="0"/>
          <w:numId w:val="26"/>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furnizarea [denumirea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4C5FA457" w:rsidR="00E009B0"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Autoritatea</w:t>
      </w:r>
      <w:r w:rsidR="00E009B0" w:rsidRPr="006C2300">
        <w:rPr>
          <w:rFonts w:ascii="Times New Roman" w:hAnsi="Times New Roman" w:cs="Times New Roman"/>
          <w:sz w:val="20"/>
          <w:szCs w:val="20"/>
        </w:rPr>
        <w:t>/entitatea</w:t>
      </w:r>
      <w:r w:rsidRPr="006C2300">
        <w:rPr>
          <w:rFonts w:ascii="Times New Roman" w:hAnsi="Times New Roman" w:cs="Times New Roman"/>
          <w:sz w:val="20"/>
          <w:szCs w:val="20"/>
        </w:rPr>
        <w:t xml:space="preserve"> contractantă se obligă să plătească Contractantului Prețul total convenit prin prezentul Contract pentru </w:t>
      </w:r>
      <w:r w:rsidR="00AC2C36" w:rsidRPr="006C2300">
        <w:rPr>
          <w:rFonts w:ascii="Times New Roman" w:hAnsi="Times New Roman" w:cs="Times New Roman"/>
          <w:sz w:val="20"/>
          <w:szCs w:val="20"/>
        </w:rPr>
        <w:t>achiziție publică/sectorială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14:paraId="488689C5" w14:textId="00637184"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8C0CF2" w:rsidRPr="00EC508D">
        <w:rPr>
          <w:rFonts w:ascii="Times New Roman" w:hAnsi="Times New Roman" w:cs="Times New Roman"/>
          <w:sz w:val="20"/>
          <w:szCs w:val="20"/>
        </w:rPr>
        <w:t xml:space="preserve"> se va ajusta </w:t>
      </w:r>
      <w:r w:rsidR="001967D7" w:rsidRPr="00EC508D">
        <w:rPr>
          <w:rFonts w:ascii="Times New Roman" w:hAnsi="Times New Roman" w:cs="Times New Roman"/>
          <w:sz w:val="20"/>
          <w:szCs w:val="20"/>
        </w:rPr>
        <w:t xml:space="preserve">conform următorului mecanism </w:t>
      </w:r>
      <w:r w:rsidR="00417861" w:rsidRPr="00EC508D">
        <w:rPr>
          <w:rFonts w:ascii="Times New Roman" w:hAnsi="Times New Roman" w:cs="Times New Roman"/>
          <w:i/>
          <w:iCs/>
          <w:sz w:val="20"/>
          <w:szCs w:val="20"/>
        </w:rPr>
        <w:t>(</w:t>
      </w:r>
      <w:r w:rsidR="000104C4" w:rsidRPr="00EC508D">
        <w:rPr>
          <w:rFonts w:ascii="Times New Roman" w:hAnsi="Times New Roman" w:cs="Times New Roman"/>
          <w:i/>
          <w:iCs/>
          <w:sz w:val="20"/>
          <w:szCs w:val="20"/>
        </w:rPr>
        <w:t xml:space="preserve">la stabilirea </w:t>
      </w:r>
      <w:r w:rsidR="007A3834" w:rsidRPr="00EC508D">
        <w:rPr>
          <w:rFonts w:ascii="Times New Roman" w:hAnsi="Times New Roman" w:cs="Times New Roman"/>
          <w:i/>
          <w:iCs/>
          <w:sz w:val="20"/>
          <w:szCs w:val="20"/>
        </w:rPr>
        <w:t xml:space="preserve">mecanismului sau </w:t>
      </w:r>
      <w:r w:rsidR="000104C4" w:rsidRPr="00EC508D">
        <w:rPr>
          <w:rFonts w:ascii="Times New Roman" w:hAnsi="Times New Roman" w:cs="Times New Roman"/>
          <w:i/>
          <w:iCs/>
          <w:sz w:val="20"/>
          <w:szCs w:val="20"/>
        </w:rPr>
        <w:t>formulei de ajustare</w:t>
      </w:r>
      <w:r w:rsidR="007A3834" w:rsidRPr="00EC508D">
        <w:rPr>
          <w:rFonts w:ascii="Times New Roman" w:hAnsi="Times New Roman" w:cs="Times New Roman"/>
          <w:i/>
          <w:iCs/>
          <w:sz w:val="20"/>
          <w:szCs w:val="20"/>
        </w:rPr>
        <w:t xml:space="preserve"> </w:t>
      </w:r>
      <w:r w:rsidR="00DF0DDE" w:rsidRPr="00EC508D">
        <w:rPr>
          <w:rFonts w:ascii="Times New Roman" w:hAnsi="Times New Roman" w:cs="Times New Roman"/>
          <w:i/>
          <w:iCs/>
          <w:sz w:val="20"/>
          <w:szCs w:val="20"/>
        </w:rPr>
        <w:t>Autoritatea/entitatea contractantă</w:t>
      </w:r>
      <w:r w:rsidR="00DF0DDE" w:rsidRPr="00EC508D" w:rsidDel="008C0CF2">
        <w:rPr>
          <w:rFonts w:ascii="Times New Roman" w:hAnsi="Times New Roman" w:cs="Times New Roman"/>
          <w:i/>
          <w:iCs/>
          <w:sz w:val="20"/>
          <w:szCs w:val="20"/>
        </w:rPr>
        <w:t xml:space="preserve"> </w:t>
      </w:r>
      <w:r w:rsidR="00D511DD" w:rsidRPr="00EC508D">
        <w:rPr>
          <w:rFonts w:ascii="Times New Roman" w:hAnsi="Times New Roman" w:cs="Times New Roman"/>
          <w:i/>
          <w:iCs/>
          <w:sz w:val="20"/>
          <w:szCs w:val="20"/>
        </w:rPr>
        <w:t>va</w:t>
      </w:r>
      <w:r w:rsidR="00A143CD" w:rsidRPr="00EC508D">
        <w:rPr>
          <w:rFonts w:ascii="Times New Roman" w:hAnsi="Times New Roman" w:cs="Times New Roman"/>
          <w:i/>
          <w:iCs/>
          <w:sz w:val="20"/>
          <w:szCs w:val="20"/>
        </w:rPr>
        <w:t xml:space="preserve"> avea în vedere prevederile </w:t>
      </w:r>
      <w:r w:rsidR="00EC508D" w:rsidRPr="00EC508D">
        <w:rPr>
          <w:rFonts w:ascii="Times New Roman" w:hAnsi="Times New Roman" w:cs="Times New Roman"/>
          <w:i/>
          <w:iCs/>
          <w:sz w:val="20"/>
          <w:szCs w:val="20"/>
        </w:rPr>
        <w:t>art 222</w:t>
      </w:r>
      <w:r w:rsidR="00EC508D" w:rsidRPr="00C7538C">
        <w:rPr>
          <w:rFonts w:ascii="Times New Roman" w:hAnsi="Times New Roman" w:cs="Times New Roman"/>
          <w:i/>
          <w:iCs/>
          <w:sz w:val="20"/>
          <w:szCs w:val="20"/>
          <w:vertAlign w:val="superscript"/>
        </w:rPr>
        <w:t>2</w:t>
      </w:r>
      <w:r w:rsidR="00EC508D" w:rsidRPr="00EC508D">
        <w:rPr>
          <w:rFonts w:ascii="Times New Roman" w:hAnsi="Times New Roman" w:cs="Times New Roman"/>
          <w:i/>
          <w:iCs/>
          <w:sz w:val="20"/>
          <w:szCs w:val="20"/>
        </w:rPr>
        <w:t xml:space="preserve"> din Legea nr. 98/2016, </w:t>
      </w:r>
      <w:r w:rsidR="00850554" w:rsidRPr="00EC508D">
        <w:rPr>
          <w:rFonts w:ascii="Times New Roman" w:hAnsi="Times New Roman" w:cs="Times New Roman"/>
          <w:i/>
          <w:iCs/>
          <w:sz w:val="20"/>
          <w:szCs w:val="20"/>
        </w:rPr>
        <w:t>precum și prevederile Instrucțiunii ANAP nr. 1/2021</w:t>
      </w:r>
      <w:r w:rsidR="00417861" w:rsidRPr="00EC508D">
        <w:rPr>
          <w:rFonts w:ascii="Times New Roman" w:hAnsi="Times New Roman" w:cs="Times New Roman"/>
          <w:i/>
          <w:iCs/>
          <w:sz w:val="20"/>
          <w:szCs w:val="20"/>
        </w:rPr>
        <w:t>)</w:t>
      </w:r>
      <w:r w:rsidRPr="00EC508D">
        <w:rPr>
          <w:rFonts w:ascii="Times New Roman" w:hAnsi="Times New Roman" w:cs="Times New Roman"/>
          <w:i/>
          <w:iCs/>
          <w:sz w:val="20"/>
          <w:szCs w:val="20"/>
        </w:rPr>
        <w:t>.</w:t>
      </w:r>
    </w:p>
    <w:p w14:paraId="4CC2B490" w14:textId="43A409C9" w:rsidR="00385DEB" w:rsidRPr="0055701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8D5A0D9" w14:textId="77777777" w:rsidR="007A2A80" w:rsidRPr="0055701B" w:rsidRDefault="007A2A80" w:rsidP="007A2A80">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87BF2">
        <w:rPr>
          <w:rFonts w:ascii="Times New Roman" w:hAnsi="Times New Roman" w:cs="Times New Roman"/>
          <w:sz w:val="20"/>
          <w:szCs w:val="20"/>
        </w:rPr>
        <w:t xml:space="preserve">Durata prezentului </w:t>
      </w:r>
      <w:r w:rsidRPr="00B32E24">
        <w:rPr>
          <w:rFonts w:ascii="Times New Roman" w:hAnsi="Times New Roman" w:cs="Times New Roman"/>
          <w:sz w:val="20"/>
          <w:szCs w:val="20"/>
        </w:rPr>
        <w:t>Contract începe de la data intrării în vigoare și se finalizează la data livrării și recepționării produselor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26886220" w14:textId="77777777" w:rsidR="007A2A80" w:rsidRDefault="007A2A80" w:rsidP="007A2A80">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587BF2">
        <w:rPr>
          <w:rFonts w:ascii="Times New Roman" w:hAnsi="Times New Roman" w:cs="Times New Roman"/>
          <w:sz w:val="20"/>
          <w:szCs w:val="20"/>
        </w:rPr>
        <w:t>Contractul intră în vigoare la data semnării acestuia de către ambele părți.</w:t>
      </w:r>
    </w:p>
    <w:p w14:paraId="59292F6E" w14:textId="79675EC9" w:rsidR="007A2A80" w:rsidRPr="00876632" w:rsidRDefault="007A2A80" w:rsidP="007A2A80">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587BF2">
        <w:rPr>
          <w:rFonts w:ascii="Times New Roman" w:hAnsi="Times New Roman" w:cs="Times New Roman"/>
          <w:sz w:val="20"/>
          <w:szCs w:val="20"/>
        </w:rPr>
        <w:t xml:space="preserve">Furnizarea produselor aferente </w:t>
      </w:r>
      <w:r w:rsidRPr="00090E32">
        <w:rPr>
          <w:rFonts w:ascii="Times New Roman" w:hAnsi="Times New Roman" w:cs="Times New Roman"/>
          <w:sz w:val="20"/>
          <w:szCs w:val="20"/>
        </w:rPr>
        <w:t>contractului va începe numai după constituirea Garanției de bună execuție</w:t>
      </w:r>
      <w:r w:rsidR="009D68CB" w:rsidRPr="009D68CB">
        <w:t xml:space="preserve"> </w:t>
      </w:r>
      <w:r w:rsidR="009D68CB" w:rsidRPr="009D68CB">
        <w:rPr>
          <w:rFonts w:ascii="Times New Roman" w:hAnsi="Times New Roman" w:cs="Times New Roman"/>
          <w:sz w:val="20"/>
          <w:szCs w:val="20"/>
        </w:rPr>
        <w:t>și va dura maxim [se precizează numărul de luni] luni sau, după caz, până la data îndeplinirii obligațiilor contractuale în sarcina părților, conform graficului de livrare actualizat în funcție de data semnării contractului.</w:t>
      </w:r>
    </w:p>
    <w:p w14:paraId="1C0D6595" w14:textId="661D2889" w:rsidR="007A2A80" w:rsidRPr="0055701B" w:rsidRDefault="007A2A80" w:rsidP="007A2A80">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9D68CB">
        <w:rPr>
          <w:rFonts w:ascii="Times New Roman" w:hAnsi="Times New Roman" w:cs="Times New Roman"/>
          <w:i/>
          <w:iCs/>
          <w:sz w:val="20"/>
          <w:szCs w:val="20"/>
        </w:rPr>
        <w:t>10 zile</w:t>
      </w:r>
      <w:r w:rsidRPr="0055701B">
        <w:rPr>
          <w:rFonts w:ascii="Times New Roman" w:hAnsi="Times New Roman" w:cs="Times New Roman"/>
          <w:sz w:val="20"/>
          <w:szCs w:val="20"/>
        </w:rPr>
        <w:t xml:space="preserve"> de la semnarea contractului să prezinte graficul actualizat de livrare în raport de data semnării contractului.</w:t>
      </w:r>
    </w:p>
    <w:p w14:paraId="033AF947" w14:textId="77777777" w:rsidR="007A2A80" w:rsidRPr="007A2A80" w:rsidRDefault="007A2A80" w:rsidP="007A2A80">
      <w:pPr>
        <w:spacing w:before="120" w:after="120" w:line="276" w:lineRule="auto"/>
        <w:jc w:val="both"/>
        <w:rPr>
          <w:rFonts w:ascii="Times New Roman" w:hAnsi="Times New Roman" w:cs="Times New Roman"/>
          <w:sz w:val="20"/>
          <w:szCs w:val="20"/>
        </w:rPr>
      </w:pPr>
    </w:p>
    <w:p w14:paraId="0C676487" w14:textId="624BC391"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26DE81CD" w14:textId="77777777" w:rsidR="004406B0" w:rsidRDefault="00B76B31" w:rsidP="004406B0">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90D83" w:rsidRPr="00157F22">
        <w:rPr>
          <w:rFonts w:ascii="Times New Roman" w:hAnsi="Times New Roman" w:cs="Times New Roman"/>
          <w:sz w:val="20"/>
          <w:szCs w:val="20"/>
        </w:rPr>
        <w:t>Graficul de livrare – Anexa nr. ...;</w:t>
      </w:r>
    </w:p>
    <w:p w14:paraId="48878224" w14:textId="7C53688A" w:rsidR="00C90D83" w:rsidRPr="004406B0" w:rsidRDefault="00C90D83" w:rsidP="004406B0">
      <w:pPr>
        <w:pStyle w:val="ListParagraph"/>
        <w:numPr>
          <w:ilvl w:val="0"/>
          <w:numId w:val="30"/>
        </w:numPr>
        <w:spacing w:before="120" w:after="120" w:line="276" w:lineRule="auto"/>
        <w:jc w:val="both"/>
        <w:rPr>
          <w:rFonts w:ascii="Times New Roman" w:hAnsi="Times New Roman" w:cs="Times New Roman"/>
          <w:sz w:val="20"/>
          <w:szCs w:val="20"/>
        </w:rPr>
      </w:pPr>
      <w:r w:rsidRPr="004406B0">
        <w:rPr>
          <w:rFonts w:ascii="Times New Roman" w:hAnsi="Times New Roman" w:cs="Times New Roman"/>
          <w:sz w:val="20"/>
          <w:szCs w:val="20"/>
        </w:rPr>
        <w:t>Graficul de plăți – Anexa nr. ... .</w:t>
      </w:r>
    </w:p>
    <w:p w14:paraId="7C4F8D7F" w14:textId="1BB71E36" w:rsidR="008615F6" w:rsidRPr="008D2C82"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p>
    <w:p w14:paraId="6CC9148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925BA65" w14:textId="101F3510"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0AA6C0B7" w14:textId="77777777"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8BC41A6" w14:textId="50C1483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4EE6F193"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08"/>
      </w:tblGrid>
      <w:tr w:rsidR="007E1D4C" w:rsidRPr="00E0776D" w14:paraId="754C86F1" w14:textId="77777777" w:rsidTr="0003416A">
        <w:tc>
          <w:tcPr>
            <w:tcW w:w="4814" w:type="dxa"/>
          </w:tcPr>
          <w:p w14:paraId="29664DFB" w14:textId="4F21F962"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r w:rsidR="009B3F60">
              <w:rPr>
                <w:rFonts w:ascii="Times New Roman" w:hAnsi="Times New Roman" w:cs="Times New Roman"/>
                <w:sz w:val="20"/>
                <w:szCs w:val="20"/>
              </w:rPr>
              <w:t xml:space="preserv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3" w:type="dxa"/>
          </w:tcPr>
          <w:p w14:paraId="54CA708C" w14:textId="0A1B0E06"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r w:rsidR="009B3F60">
              <w:rPr>
                <w:rFonts w:ascii="Times New Roman" w:hAnsi="Times New Roman" w:cs="Times New Roman"/>
                <w:sz w:val="20"/>
                <w:szCs w:val="20"/>
              </w:rPr>
              <w:t xml:space="preserve"> </w:t>
            </w:r>
            <w:r w:rsidRPr="00E0776D">
              <w:rPr>
                <w:rFonts w:ascii="Times New Roman" w:hAnsi="Times New Roman" w:cs="Times New Roman"/>
                <w:sz w:val="20"/>
                <w:szCs w:val="20"/>
              </w:rPr>
              <w:t>Contractant:</w:t>
            </w:r>
          </w:p>
        </w:tc>
      </w:tr>
      <w:tr w:rsidR="007E1D4C" w:rsidRPr="00E0776D" w14:paraId="0ED2112F" w14:textId="77777777" w:rsidTr="0003416A">
        <w:tc>
          <w:tcPr>
            <w:tcW w:w="4814" w:type="dxa"/>
          </w:tcPr>
          <w:p w14:paraId="13E1D4D3" w14:textId="3D37FD28"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813" w:type="dxa"/>
          </w:tcPr>
          <w:p w14:paraId="59AE4D23" w14:textId="243DC97C"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14:paraId="4D8AF25C" w14:textId="77777777" w:rsidTr="0003416A">
        <w:tc>
          <w:tcPr>
            <w:tcW w:w="4814" w:type="dxa"/>
          </w:tcPr>
          <w:p w14:paraId="2BE9E6E8" w14:textId="7431859A"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c>
          <w:tcPr>
            <w:tcW w:w="4813" w:type="dxa"/>
          </w:tcPr>
          <w:p w14:paraId="474C19EA" w14:textId="71674D5F"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14:paraId="2BF85E58" w14:textId="77777777" w:rsidTr="0003416A">
        <w:tc>
          <w:tcPr>
            <w:tcW w:w="4814" w:type="dxa"/>
          </w:tcPr>
          <w:p w14:paraId="668090C8" w14:textId="68B247A1"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813" w:type="dxa"/>
          </w:tcPr>
          <w:p w14:paraId="6D3F2EEE" w14:textId="23101F9D"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14:paraId="7B6C38C8" w14:textId="77777777" w:rsidTr="0003416A">
        <w:tc>
          <w:tcPr>
            <w:tcW w:w="4814" w:type="dxa"/>
          </w:tcPr>
          <w:p w14:paraId="72480F70" w14:textId="5BDC3172"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813" w:type="dxa"/>
          </w:tcPr>
          <w:p w14:paraId="518521BD" w14:textId="3C99854E"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1D4C" w:rsidRPr="00E0776D" w14:paraId="150BB436" w14:textId="77777777" w:rsidTr="0003416A">
        <w:tc>
          <w:tcPr>
            <w:tcW w:w="4814" w:type="dxa"/>
          </w:tcPr>
          <w:p w14:paraId="01CB4ACB" w14:textId="77777777" w:rsidR="007E1D4C" w:rsidRPr="00E0776D"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E0776D"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EC8CE05" w14:textId="0B0FB5B7" w:rsidR="004D3CE5" w:rsidRPr="0091731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14:paraId="31C2D8C9" w14:textId="540BF216" w:rsidR="00303422" w:rsidRPr="0091731A"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sidR="00DE7C41">
        <w:rPr>
          <w:rFonts w:ascii="Times New Roman" w:hAnsi="Times New Roman" w:cs="Times New Roman"/>
          <w:sz w:val="20"/>
          <w:szCs w:val="20"/>
        </w:rPr>
        <w:t>5%</w:t>
      </w:r>
      <w:r w:rsidRPr="0091731A">
        <w:rPr>
          <w:rFonts w:ascii="Times New Roman" w:hAnsi="Times New Roman" w:cs="Times New Roman"/>
          <w:sz w:val="20"/>
          <w:szCs w:val="20"/>
        </w:rPr>
        <w:t xml:space="preserve"> din prețul contra</w:t>
      </w:r>
      <w:r w:rsidR="00303422" w:rsidRPr="0091731A">
        <w:rPr>
          <w:rFonts w:ascii="Times New Roman" w:hAnsi="Times New Roman" w:cs="Times New Roman"/>
          <w:sz w:val="20"/>
          <w:szCs w:val="20"/>
        </w:rPr>
        <w:t>ctului fără TVA, adică ……</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ambele părți. Garanția de bună execuție se constituie </w:t>
      </w:r>
      <w:r w:rsidR="000023BA" w:rsidRPr="0091731A">
        <w:rPr>
          <w:rFonts w:ascii="Times New Roman" w:hAnsi="Times New Roman" w:cs="Times New Roman"/>
          <w:bCs/>
          <w:sz w:val="20"/>
          <w:szCs w:val="20"/>
        </w:rPr>
        <w:t xml:space="preserve">în conformitate cu prevederile art. 154 alin (3) și (4) din Legea 98/2016, , precum și cu prevederile art. 40 din Anexa la H.G. nr. 395/2016, </w:t>
      </w:r>
    </w:p>
    <w:p w14:paraId="6B167472" w14:textId="57334DF6" w:rsidR="00303422"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14:paraId="49AF0432" w14:textId="1DD55260" w:rsidR="00C90D83" w:rsidRPr="0055701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56169D3" w14:textId="38CA544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3081BC68" w14:textId="77777777"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0BDB62A5" w:rsidR="004D3CE5"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21368053" w14:textId="1C130AE4" w:rsidR="00697B9F" w:rsidRPr="00E0776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03D94E94" w14:textId="428A56A4"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6D7CE303"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lastRenderedPageBreak/>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71B87EC6"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24E1FD06"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45EB3CEE" w14:textId="77777777" w:rsidR="009D68CB" w:rsidRPr="00E0776D" w:rsidRDefault="009D68CB" w:rsidP="009D68C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w:t>
      </w:r>
      <w:r>
        <w:rPr>
          <w:rFonts w:ascii="Times New Roman" w:hAnsi="Times New Roman" w:cs="Times New Roman"/>
          <w:sz w:val="20"/>
          <w:szCs w:val="20"/>
        </w:rPr>
        <w:t xml:space="preserve"> Graficul de plăți va fi corelat cu graficul de livrare a contractului, care va include eșalonarea valorică a livrărilor de Produse din Contract.</w:t>
      </w:r>
    </w:p>
    <w:p w14:paraId="6C8D4150" w14:textId="77777777" w:rsidR="009D68CB" w:rsidRPr="00E0776D" w:rsidRDefault="009D68CB" w:rsidP="009D68C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cum este constituit ca parte integrantă din Contract.</w:t>
      </w:r>
    </w:p>
    <w:p w14:paraId="020F8584" w14:textId="77777777" w:rsidR="009D68CB" w:rsidRPr="00E0776D" w:rsidRDefault="009D68CB" w:rsidP="009D68C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2881B85A" w14:textId="77777777" w:rsidR="009D68CB" w:rsidRPr="00157F22" w:rsidRDefault="009D68CB" w:rsidP="009D68C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În cazul în care, pe parcursul duratei Contractului, Autoritatea/entitatea contractantă constată și consideră că liv</w:t>
      </w:r>
      <w:r w:rsidRPr="008D2C82">
        <w:rPr>
          <w:rFonts w:ascii="Times New Roman" w:hAnsi="Times New Roman" w:cs="Times New Roman"/>
          <w:sz w:val="20"/>
          <w:szCs w:val="20"/>
        </w:rPr>
        <w:t>rarea Produselor nu respectă eșalonarea fizică a activităților, astfel cum este stabilită prin Graficul de livrare, Autoritatea/entitatea contractantă, va percepe penalități de întârziere, astfel cum au fost stabilite ele în cuprinsul art. 23.3.</w:t>
      </w:r>
      <w:r w:rsidRPr="0055701B">
        <w:rPr>
          <w:rFonts w:ascii="Times New Roman" w:hAnsi="Times New Roman" w:cs="Times New Roman"/>
          <w:sz w:val="20"/>
          <w:szCs w:val="20"/>
        </w:rPr>
        <w:t>, chiar dacă acceptă revizuirea acestuia potrivit dispozițiilor art. 11.3.</w:t>
      </w:r>
    </w:p>
    <w:p w14:paraId="138A0C4C" w14:textId="77777777" w:rsidR="009D68CB" w:rsidRPr="00157F22" w:rsidRDefault="009D68CB" w:rsidP="009D68C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 la data stabilită în Contract.</w:t>
      </w:r>
    </w:p>
    <w:p w14:paraId="3206818C" w14:textId="77777777" w:rsidR="009D68CB" w:rsidRPr="00E0776D" w:rsidRDefault="009D68CB" w:rsidP="009D68C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3BDE23C4" w14:textId="13182750" w:rsidR="00E977A0" w:rsidRPr="00E977A0" w:rsidRDefault="00E977A0"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iCs/>
          <w:sz w:val="20"/>
          <w:szCs w:val="20"/>
        </w:rPr>
      </w:pPr>
      <w:r>
        <w:rPr>
          <w:rFonts w:ascii="Times New Roman" w:hAnsi="Times New Roman" w:cs="Times New Roman"/>
          <w:iCs/>
          <w:sz w:val="20"/>
          <w:szCs w:val="20"/>
        </w:rPr>
        <w:t>I</w:t>
      </w:r>
      <w:r w:rsidRPr="00E977A0">
        <w:rPr>
          <w:rFonts w:ascii="Times New Roman" w:hAnsi="Times New Roman" w:cs="Times New Roman"/>
          <w:iCs/>
          <w:sz w:val="20"/>
          <w:szCs w:val="20"/>
        </w:rPr>
        <w:t>ntră în sarcina viitorului contractant:</w:t>
      </w:r>
    </w:p>
    <w:p w14:paraId="540EDF42" w14:textId="7777777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transportul produselor;</w:t>
      </w:r>
    </w:p>
    <w:p w14:paraId="5997C4A3" w14:textId="6B3601D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descărcarea produselor și poziționarea în săli;</w:t>
      </w:r>
    </w:p>
    <w:p w14:paraId="2E5F7D01" w14:textId="1BE6292E"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xml:space="preserve">- montarea / instalarea </w:t>
      </w:r>
      <w:r w:rsidR="009D68CB">
        <w:rPr>
          <w:rFonts w:ascii="Times New Roman" w:hAnsi="Times New Roman" w:cs="Times New Roman"/>
          <w:iCs/>
          <w:sz w:val="20"/>
          <w:szCs w:val="20"/>
        </w:rPr>
        <w:t>echipamentelor</w:t>
      </w:r>
      <w:r w:rsidRPr="00E977A0">
        <w:rPr>
          <w:rFonts w:ascii="Times New Roman" w:hAnsi="Times New Roman" w:cs="Times New Roman"/>
          <w:iCs/>
          <w:sz w:val="20"/>
          <w:szCs w:val="20"/>
        </w:rPr>
        <w:t>;</w:t>
      </w:r>
    </w:p>
    <w:p w14:paraId="204B5666" w14:textId="7777777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lastRenderedPageBreak/>
        <w:t>- verificarea montării/instalării corecte a tuturor produselor.</w:t>
      </w:r>
    </w:p>
    <w:p w14:paraId="434BC689" w14:textId="5A97D427" w:rsidR="00697B9F" w:rsidRPr="00E0776D" w:rsidRDefault="00697B9F" w:rsidP="00627A30">
      <w:pPr>
        <w:spacing w:before="120" w:after="120" w:line="276" w:lineRule="auto"/>
        <w:jc w:val="both"/>
        <w:rPr>
          <w:rFonts w:ascii="Times New Roman" w:hAnsi="Times New Roman" w:cs="Times New Roman"/>
          <w:sz w:val="20"/>
          <w:szCs w:val="20"/>
        </w:rPr>
      </w:pPr>
    </w:p>
    <w:p w14:paraId="62AFFA34" w14:textId="07A626E8" w:rsidR="004D3CE5"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A7CF4BE"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000F01EF">
        <w:rPr>
          <w:rFonts w:ascii="Times New Roman" w:hAnsi="Times New Roman" w:cs="Times New Roman"/>
          <w:sz w:val="20"/>
          <w:szCs w:val="20"/>
        </w:rPr>
        <w:t xml:space="preserve"> </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Pr>
          <w:rFonts w:ascii="Times New Roman" w:hAnsi="Times New Roman" w:cs="Times New Roman"/>
          <w:color w:val="7030A0"/>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125EB95F" w14:textId="633B5B98" w:rsidR="00C950BF" w:rsidRPr="002F738D"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 xml:space="preserve">Clauzele de </w:t>
      </w:r>
      <w:r w:rsidR="00EE73E0" w:rsidRPr="002F738D">
        <w:rPr>
          <w:rFonts w:ascii="Times New Roman" w:hAnsi="Times New Roman" w:cs="Times New Roman"/>
          <w:sz w:val="20"/>
          <w:szCs w:val="20"/>
        </w:rPr>
        <w:t xml:space="preserve">revizuire </w:t>
      </w:r>
      <w:r w:rsidRPr="002F738D">
        <w:rPr>
          <w:rFonts w:ascii="Times New Roman" w:hAnsi="Times New Roman" w:cs="Times New Roman"/>
          <w:sz w:val="20"/>
          <w:szCs w:val="20"/>
        </w:rPr>
        <w:t xml:space="preserve">a contractului </w:t>
      </w:r>
      <w:r w:rsidR="00C950BF" w:rsidRPr="002F738D">
        <w:rPr>
          <w:rFonts w:ascii="Times New Roman" w:hAnsi="Times New Roman" w:cs="Times New Roman"/>
          <w:sz w:val="20"/>
          <w:szCs w:val="20"/>
        </w:rPr>
        <w:t>sunt</w:t>
      </w:r>
      <w:r w:rsidRPr="002F738D">
        <w:rPr>
          <w:rFonts w:ascii="Times New Roman" w:hAnsi="Times New Roman" w:cs="Times New Roman"/>
          <w:sz w:val="20"/>
          <w:szCs w:val="20"/>
        </w:rPr>
        <w:t>:</w:t>
      </w:r>
      <w:r w:rsidR="00D20757" w:rsidRPr="002F738D">
        <w:rPr>
          <w:rFonts w:ascii="Times New Roman" w:hAnsi="Times New Roman" w:cs="Times New Roman"/>
          <w:sz w:val="20"/>
          <w:szCs w:val="20"/>
        </w:rPr>
        <w:t xml:space="preserve"> </w:t>
      </w:r>
    </w:p>
    <w:p w14:paraId="2CAE2413" w14:textId="7D34E349" w:rsidR="00E77F62" w:rsidRPr="0055701B" w:rsidRDefault="00201353"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V</w:t>
      </w:r>
      <w:r w:rsidR="004D3CE5" w:rsidRPr="0055701B">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Pr>
          <w:rFonts w:ascii="Times New Roman" w:hAnsi="Times New Roman" w:cs="Times New Roman"/>
          <w:i/>
          <w:sz w:val="20"/>
          <w:szCs w:val="20"/>
        </w:rPr>
        <w:t>furnizate</w:t>
      </w:r>
      <w:r w:rsidR="004D3CE5" w:rsidRPr="0055701B">
        <w:rPr>
          <w:rFonts w:ascii="Times New Roman" w:hAnsi="Times New Roman" w:cs="Times New Roman"/>
          <w:i/>
          <w:sz w:val="20"/>
          <w:szCs w:val="20"/>
        </w:rPr>
        <w:t>);</w:t>
      </w:r>
    </w:p>
    <w:p w14:paraId="44530FB7" w14:textId="73D7745D" w:rsidR="00E77F62" w:rsidRPr="0055701B" w:rsidRDefault="00115589"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N</w:t>
      </w:r>
      <w:r w:rsidR="004D3CE5" w:rsidRPr="0055701B">
        <w:rPr>
          <w:rFonts w:ascii="Times New Roman" w:hAnsi="Times New Roman" w:cs="Times New Roman"/>
          <w:i/>
          <w:sz w:val="20"/>
          <w:szCs w:val="20"/>
        </w:rPr>
        <w:t xml:space="preserve">ecesitatea extinderii duratei de </w:t>
      </w:r>
      <w:r w:rsidR="00E77F62" w:rsidRPr="0055701B">
        <w:rPr>
          <w:rFonts w:ascii="Times New Roman" w:hAnsi="Times New Roman" w:cs="Times New Roman"/>
          <w:i/>
          <w:sz w:val="20"/>
          <w:szCs w:val="20"/>
        </w:rPr>
        <w:t>furnizare a produselor</w:t>
      </w:r>
      <w:r w:rsidR="004D3CE5" w:rsidRPr="0055701B">
        <w:rPr>
          <w:rFonts w:ascii="Times New Roman" w:hAnsi="Times New Roman" w:cs="Times New Roman"/>
          <w:i/>
          <w:sz w:val="20"/>
          <w:szCs w:val="20"/>
        </w:rPr>
        <w:t>.</w:t>
      </w:r>
    </w:p>
    <w:p w14:paraId="2E287640" w14:textId="49843706" w:rsidR="00F60D0C" w:rsidRDefault="00F60D0C"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Opțiuni</w:t>
      </w:r>
      <w:r w:rsidR="00C568F9">
        <w:rPr>
          <w:rFonts w:ascii="Times New Roman" w:hAnsi="Times New Roman" w:cs="Times New Roman"/>
          <w:i/>
          <w:sz w:val="20"/>
          <w:szCs w:val="20"/>
        </w:rPr>
        <w:t xml:space="preserve"> / variații</w:t>
      </w:r>
      <w:r w:rsidRPr="0055701B">
        <w:rPr>
          <w:rFonts w:ascii="Times New Roman" w:hAnsi="Times New Roman" w:cs="Times New Roman"/>
          <w:i/>
          <w:sz w:val="20"/>
          <w:szCs w:val="20"/>
        </w:rPr>
        <w:t xml:space="preserve"> ale cantităților ce urmează a fi achiziționate (</w:t>
      </w:r>
      <w:r w:rsidRPr="0055701B">
        <w:rPr>
          <w:rFonts w:ascii="Times New Roman" w:hAnsi="Times New Roman" w:cs="Times New Roman"/>
          <w:i/>
          <w:iCs/>
          <w:sz w:val="20"/>
          <w:szCs w:val="20"/>
        </w:rPr>
        <w:t>acestea vor fi stabilite în mod clar încă de la estimarea valorii achiziției și vor fi incluse în documentația de atribuire</w:t>
      </w:r>
      <w:r w:rsidR="003F5B71" w:rsidRPr="0055701B">
        <w:rPr>
          <w:rFonts w:ascii="Times New Roman" w:hAnsi="Times New Roman" w:cs="Times New Roman"/>
          <w:i/>
          <w:sz w:val="20"/>
          <w:szCs w:val="20"/>
        </w:rPr>
        <w:t>)</w:t>
      </w:r>
      <w:r w:rsidRPr="0055701B">
        <w:rPr>
          <w:rFonts w:ascii="Times New Roman" w:hAnsi="Times New Roman" w:cs="Times New Roman"/>
          <w:i/>
          <w:sz w:val="20"/>
          <w:szCs w:val="20"/>
        </w:rPr>
        <w:t>.</w:t>
      </w:r>
    </w:p>
    <w:p w14:paraId="703FBD7D" w14:textId="29D444AE" w:rsidR="00157F22" w:rsidRPr="0055701B" w:rsidRDefault="00157F22" w:rsidP="00F2738B">
      <w:pPr>
        <w:pStyle w:val="ListParagraph"/>
        <w:numPr>
          <w:ilvl w:val="0"/>
          <w:numId w:val="38"/>
        </w:num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Opțiuni ale achiziționării de piese de schimb pentru o anumită perioadă d</w:t>
      </w:r>
      <w:r w:rsidR="008D2C82">
        <w:rPr>
          <w:rFonts w:ascii="Times New Roman" w:hAnsi="Times New Roman" w:cs="Times New Roman"/>
          <w:i/>
          <w:sz w:val="20"/>
          <w:szCs w:val="20"/>
        </w:rPr>
        <w:t xml:space="preserve">upă finalizarea perioadei de garanție, dacă contractul </w:t>
      </w:r>
      <w:r w:rsidR="008D2C82" w:rsidRPr="0055701B">
        <w:rPr>
          <w:rFonts w:ascii="Times New Roman" w:hAnsi="Times New Roman" w:cs="Times New Roman"/>
          <w:i/>
          <w:sz w:val="20"/>
          <w:szCs w:val="20"/>
        </w:rPr>
        <w:t>este încă în vigoare.</w:t>
      </w:r>
    </w:p>
    <w:p w14:paraId="2B980980" w14:textId="71006B2A" w:rsidR="00F60D0C" w:rsidRDefault="00F60D0C">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Tratarea situațiilor privind ieșirea din circuitul comercial al produselor și încetarea contractelor pe termen lung</w:t>
      </w:r>
      <w:r w:rsidR="00C950BF" w:rsidRPr="0055701B">
        <w:rPr>
          <w:rFonts w:ascii="Times New Roman" w:hAnsi="Times New Roman" w:cs="Times New Roman"/>
          <w:i/>
          <w:sz w:val="20"/>
          <w:szCs w:val="20"/>
        </w:rPr>
        <w:t>.</w:t>
      </w:r>
    </w:p>
    <w:p w14:paraId="0F7F359F" w14:textId="77777777" w:rsidR="00B11A55" w:rsidRPr="0055701B" w:rsidRDefault="00B11A55" w:rsidP="00B11A55">
      <w:pPr>
        <w:pStyle w:val="ListParagraph"/>
        <w:spacing w:before="120" w:after="120" w:line="276" w:lineRule="auto"/>
        <w:ind w:left="721"/>
        <w:jc w:val="both"/>
        <w:rPr>
          <w:rFonts w:ascii="Times New Roman" w:hAnsi="Times New Roman" w:cs="Times New Roman"/>
          <w:i/>
          <w:sz w:val="20"/>
          <w:szCs w:val="20"/>
        </w:rPr>
      </w:pPr>
    </w:p>
    <w:p w14:paraId="6162EB76" w14:textId="6F1C47CD" w:rsidR="00A72B44"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E0776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347E0F40"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11370CE" w14:textId="2F887D30"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5C34EE37"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14:paraId="5B192DFC" w14:textId="0272F651" w:rsidR="00412CBB" w:rsidRPr="00E0776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58A7BF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62022034"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14:paraId="2FFBA6EC" w14:textId="1D386C39"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035AA8CC" w14:textId="421614C1"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bookmarkStart w:id="1" w:name="_GoBack"/>
      <w:bookmarkEnd w:id="1"/>
    </w:p>
    <w:tbl>
      <w:tblPr>
        <w:tblStyle w:val="TableGrid"/>
        <w:tblW w:w="9351" w:type="dxa"/>
        <w:tblLook w:val="04A0" w:firstRow="1" w:lastRow="0" w:firstColumn="1" w:lastColumn="0" w:noHBand="0" w:noVBand="1"/>
      </w:tblPr>
      <w:tblGrid>
        <w:gridCol w:w="10211"/>
      </w:tblGrid>
      <w:tr w:rsidR="006377EB" w14:paraId="1FDD5FA3" w14:textId="77777777" w:rsidTr="004406B0">
        <w:tc>
          <w:tcPr>
            <w:tcW w:w="9351" w:type="dxa"/>
          </w:tcPr>
          <w:p w14:paraId="4EFB24C3" w14:textId="167C697B"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tratează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D92326" w14:paraId="25FA1726" w14:textId="77777777" w:rsidTr="00A06DF6">
              <w:tc>
                <w:tcPr>
                  <w:tcW w:w="1345" w:type="dxa"/>
                  <w:shd w:val="clear" w:color="auto" w:fill="4472C4" w:themeFill="accent5"/>
                </w:tcPr>
                <w:p w14:paraId="23FFA9CA" w14:textId="77777777" w:rsidR="006377EB" w:rsidRPr="00526EDD" w:rsidRDefault="006377EB" w:rsidP="006377EB">
                  <w:pPr>
                    <w:rPr>
                      <w:rFonts w:ascii="Times New Roman" w:hAnsi="Times New Roman" w:cs="Times New Roman"/>
                      <w:sz w:val="20"/>
                      <w:szCs w:val="20"/>
                    </w:rPr>
                  </w:pPr>
                </w:p>
              </w:tc>
              <w:tc>
                <w:tcPr>
                  <w:tcW w:w="2790" w:type="dxa"/>
                  <w:shd w:val="clear" w:color="auto" w:fill="4472C4" w:themeFill="accent5"/>
                </w:tcPr>
                <w:p w14:paraId="22216607"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Art. contract/ Art. C.civ.</w:t>
                  </w:r>
                </w:p>
              </w:tc>
              <w:tc>
                <w:tcPr>
                  <w:tcW w:w="4500" w:type="dxa"/>
                  <w:shd w:val="clear" w:color="auto" w:fill="4472C4" w:themeFill="accent5"/>
                </w:tcPr>
                <w:p w14:paraId="0B71C0B2"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14:paraId="420EC98F" w14:textId="77777777" w:rsidTr="00A06DF6">
              <w:tc>
                <w:tcPr>
                  <w:tcW w:w="1345" w:type="dxa"/>
                  <w:shd w:val="clear" w:color="auto" w:fill="4472C4" w:themeFill="accent5"/>
                </w:tcPr>
                <w:p w14:paraId="0656E646"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790" w:type="dxa"/>
                </w:tcPr>
                <w:p w14:paraId="4ECCBA42"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350" w:type="dxa"/>
                </w:tcPr>
                <w:p w14:paraId="1F1263F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16.1./1.566-1.592 C.civ.</w:t>
                  </w:r>
                </w:p>
              </w:tc>
              <w:tc>
                <w:tcPr>
                  <w:tcW w:w="4500" w:type="dxa"/>
                </w:tcPr>
                <w:p w14:paraId="1F9213D0"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AC/EC</w:t>
                  </w:r>
                </w:p>
              </w:tc>
            </w:tr>
            <w:tr w:rsidR="006377EB" w:rsidRPr="00D92326" w14:paraId="1433864D" w14:textId="77777777" w:rsidTr="00A06DF6">
              <w:tc>
                <w:tcPr>
                  <w:tcW w:w="1345" w:type="dxa"/>
                  <w:shd w:val="clear" w:color="auto" w:fill="4472C4" w:themeFill="accent5"/>
                </w:tcPr>
                <w:p w14:paraId="4C57593A"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datorie</w:t>
                  </w:r>
                </w:p>
              </w:tc>
              <w:tc>
                <w:tcPr>
                  <w:tcW w:w="2790" w:type="dxa"/>
                </w:tcPr>
                <w:p w14:paraId="4E06DD96"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350" w:type="dxa"/>
                </w:tcPr>
                <w:p w14:paraId="786FA353"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4500" w:type="dxa"/>
                </w:tcPr>
                <w:p w14:paraId="6DD98D3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4E0AED0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Cesionarul dovedește că are are calificările tehnice și experiența necesară pentru partea de de contract pe care urmează să o execute.</w:t>
                  </w:r>
                </w:p>
              </w:tc>
            </w:tr>
            <w:tr w:rsidR="006377EB" w:rsidRPr="00D92326" w14:paraId="1E0FD637" w14:textId="77777777" w:rsidTr="00A06DF6">
              <w:tc>
                <w:tcPr>
                  <w:tcW w:w="1345" w:type="dxa"/>
                  <w:shd w:val="clear" w:color="auto" w:fill="4472C4" w:themeFill="accent5"/>
                </w:tcPr>
                <w:p w14:paraId="17B3F544"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contract</w:t>
                  </w:r>
                </w:p>
              </w:tc>
              <w:tc>
                <w:tcPr>
                  <w:tcW w:w="2790" w:type="dxa"/>
                </w:tcPr>
                <w:p w14:paraId="6DD4FB81"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16.4.-16.6./ 1.315-1.320 C.Civ</w:t>
                  </w:r>
                </w:p>
              </w:tc>
              <w:tc>
                <w:tcPr>
                  <w:tcW w:w="4500" w:type="dxa"/>
                </w:tcPr>
                <w:p w14:paraId="0078B76A"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322101ED"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14:paraId="37539F37"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14:paraId="398E36E9" w14:textId="6CF004F5" w:rsidR="006377EB" w:rsidRPr="0055701B" w:rsidRDefault="006377EB" w:rsidP="00B643A4">
            <w:pPr>
              <w:jc w:val="both"/>
              <w:rPr>
                <w:rFonts w:ascii="Times New Roman" w:hAnsi="Times New Roman" w:cs="Times New Roman"/>
                <w:sz w:val="20"/>
                <w:szCs w:val="20"/>
              </w:rPr>
            </w:pPr>
          </w:p>
        </w:tc>
      </w:tr>
    </w:tbl>
    <w:p w14:paraId="004D9D8A" w14:textId="77777777" w:rsidR="006377EB" w:rsidRPr="00B643A4" w:rsidRDefault="006377EB" w:rsidP="00B643A4">
      <w:pPr>
        <w:jc w:val="both"/>
        <w:rPr>
          <w:rFonts w:ascii="Times New Roman" w:hAnsi="Times New Roman" w:cs="Times New Roman"/>
          <w:b/>
          <w:bCs/>
          <w:sz w:val="20"/>
          <w:szCs w:val="20"/>
        </w:rPr>
      </w:pPr>
    </w:p>
    <w:p w14:paraId="480A49D7" w14:textId="1E99A9CE"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w:t>
      </w:r>
      <w:r w:rsidR="00B11A55">
        <w:rPr>
          <w:rFonts w:ascii="Times New Roman" w:hAnsi="Times New Roman" w:cs="Times New Roman"/>
          <w:i/>
          <w:sz w:val="20"/>
          <w:szCs w:val="20"/>
        </w:rPr>
        <w:t xml:space="preserve"> </w:t>
      </w:r>
      <w:r w:rsidRPr="00FA5EF5">
        <w:rPr>
          <w:rFonts w:ascii="Times New Roman" w:hAnsi="Times New Roman" w:cs="Times New Roman"/>
          <w:i/>
          <w:sz w:val="20"/>
          <w:szCs w:val="20"/>
        </w:rPr>
        <w:t>contractante</w:t>
      </w:r>
      <w:r w:rsidRPr="00B643A4">
        <w:rPr>
          <w:rFonts w:ascii="Times New Roman" w:hAnsi="Times New Roman" w:cs="Times New Roman"/>
          <w:sz w:val="20"/>
          <w:szCs w:val="20"/>
        </w:rPr>
        <w:t xml:space="preserve"> nu îi poate fi opus contractul de cesiune de creanță.</w:t>
      </w:r>
    </w:p>
    <w:p w14:paraId="4DBF8BA1" w14:textId="528108A9"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w:t>
      </w:r>
      <w:r w:rsidR="00B11A55">
        <w:rPr>
          <w:rFonts w:ascii="Times New Roman" w:hAnsi="Times New Roman" w:cs="Times New Roman"/>
          <w:i/>
          <w:sz w:val="20"/>
          <w:szCs w:val="20"/>
        </w:rPr>
        <w:t xml:space="preserve"> </w:t>
      </w:r>
      <w:r w:rsidRPr="00FA5EF5">
        <w:rPr>
          <w:rFonts w:ascii="Times New Roman" w:hAnsi="Times New Roman" w:cs="Times New Roman"/>
          <w:i/>
          <w:sz w:val="20"/>
          <w:szCs w:val="20"/>
        </w:rPr>
        <w:t>contractante</w:t>
      </w:r>
      <w:bookmarkStart w:id="2"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14:paraId="485C871D" w14:textId="787D4E5C"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lastRenderedPageBreak/>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77777777" w:rsidR="00B643A4" w:rsidRPr="00B643A4" w:rsidRDefault="00B643A4" w:rsidP="00B643A4">
      <w:pPr>
        <w:jc w:val="both"/>
        <w:rPr>
          <w:rFonts w:ascii="Times New Roman" w:hAnsi="Times New Roman" w:cs="Times New Roman"/>
          <w:b/>
          <w:bCs/>
          <w:sz w:val="20"/>
          <w:szCs w:val="20"/>
        </w:rPr>
      </w:pPr>
      <w:bookmarkStart w:id="3" w:name="_Hlk85046476"/>
      <w:bookmarkEnd w:id="2"/>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3"/>
    <w:p w14:paraId="584AEFB5"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4"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4"/>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2846CC90"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1E53479D"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5F6E60A9" w:rsidR="00B643A4" w:rsidRPr="0055701B" w:rsidRDefault="00B643A4" w:rsidP="00B643A4">
      <w:pPr>
        <w:jc w:val="both"/>
        <w:rPr>
          <w:rFonts w:ascii="Times New Roman" w:hAnsi="Times New Roman" w:cs="Times New Roman"/>
          <w:sz w:val="20"/>
          <w:szCs w:val="20"/>
        </w:rPr>
      </w:pPr>
      <w:bookmarkStart w:id="5"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 de art. 240 alin. (1) lit. a) din Legea nr. 99/2016.</w:t>
      </w:r>
    </w:p>
    <w:bookmarkEnd w:id="5"/>
    <w:p w14:paraId="01B042BB"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D7FDF9F"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8C51AA">
        <w:rPr>
          <w:rFonts w:ascii="Times New Roman" w:hAnsi="Times New Roman" w:cs="Times New Roman"/>
          <w:b/>
          <w:bCs/>
          <w:sz w:val="20"/>
          <w:szCs w:val="20"/>
        </w:rPr>
        <w:t xml:space="preserve"> </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w:t>
      </w:r>
      <w:r w:rsidRPr="0055701B">
        <w:rPr>
          <w:rFonts w:ascii="Times New Roman" w:hAnsi="Times New Roman" w:cs="Times New Roman"/>
          <w:sz w:val="20"/>
          <w:szCs w:val="20"/>
        </w:rPr>
        <w:lastRenderedPageBreak/>
        <w:t>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C824AA0" w14:textId="7C5C3CF2"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Autoritățiicontractante</w:t>
      </w:r>
    </w:p>
    <w:p w14:paraId="237C530D" w14:textId="4F47A7A3"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0ABD6B7D"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4626B6">
        <w:rPr>
          <w:rFonts w:ascii="Times New Roman" w:hAnsi="Times New Roman" w:cs="Times New Roman"/>
          <w:sz w:val="20"/>
          <w:szCs w:val="20"/>
        </w:rPr>
        <w:t xml:space="preserve"> </w:t>
      </w:r>
      <w:r w:rsidRPr="0091731A">
        <w:rPr>
          <w:rFonts w:ascii="Times New Roman" w:hAnsi="Times New Roman" w:cs="Times New Roman"/>
          <w:sz w:val="20"/>
          <w:szCs w:val="20"/>
        </w:rPr>
        <w:t xml:space="preserve">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35EB1A1C"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10B545FD" w:rsidR="00EF34AE" w:rsidRPr="00E0776D" w:rsidRDefault="00632AE9"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CA0FF1">
        <w:rPr>
          <w:rFonts w:ascii="Times New Roman" w:hAnsi="Times New Roman" w:cs="Times New Roman"/>
          <w:sz w:val="20"/>
          <w:szCs w:val="20"/>
        </w:rPr>
        <w:t>contractantă va colabora</w:t>
      </w:r>
      <w:r w:rsidR="004D3CE5"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1277B976"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D2745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contractanta are obligația să desemneze, în termen de </w:t>
      </w:r>
      <w:r w:rsidR="004626B6">
        <w:rPr>
          <w:rFonts w:ascii="Times New Roman" w:hAnsi="Times New Roman" w:cs="Times New Roman"/>
          <w:i/>
          <w:sz w:val="20"/>
          <w:szCs w:val="20"/>
        </w:rPr>
        <w:t xml:space="preserve">5 </w:t>
      </w:r>
      <w:r w:rsidRPr="00E0776D">
        <w:rPr>
          <w:rFonts w:ascii="Times New Roman" w:hAnsi="Times New Roman" w:cs="Times New Roman"/>
          <w:sz w:val="20"/>
          <w:szCs w:val="20"/>
        </w:rPr>
        <w:t>zile de la semnarea contractului, persoana de contact.</w:t>
      </w:r>
    </w:p>
    <w:p w14:paraId="69E46FD7" w14:textId="704138E8" w:rsidR="00D27454" w:rsidRPr="00E0776D"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2027709D"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77777777"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6" w:name="_Hlk88574558"/>
      <w:r w:rsidRPr="0055701B">
        <w:rPr>
          <w:rFonts w:ascii="Times New Roman" w:hAnsi="Times New Roman" w:cs="Times New Roman"/>
          <w:sz w:val="20"/>
          <w:szCs w:val="20"/>
        </w:rPr>
        <w:t>În situația prevăzută de art. 18.7. Autoritatea/entitatea contractantă are dreptul:</w:t>
      </w:r>
    </w:p>
    <w:p w14:paraId="71D2297C"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w:t>
      </w:r>
      <w:r w:rsidRPr="0055701B">
        <w:rPr>
          <w:rFonts w:ascii="Times New Roman" w:hAnsi="Times New Roman" w:cs="Times New Roman"/>
          <w:sz w:val="20"/>
          <w:szCs w:val="20"/>
        </w:rPr>
        <w:lastRenderedPageBreak/>
        <w:t>cuprinsă între momentul la care trebuiau predate bunurile și momentul la care bunurile au fost înlocuite/au fost remediate defectele bunului;</w:t>
      </w:r>
    </w:p>
    <w:p w14:paraId="4339B7E5" w14:textId="045E4B41"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6"/>
      <w:r w:rsidRPr="0055701B">
        <w:rPr>
          <w:rFonts w:ascii="Times New Roman" w:hAnsi="Times New Roman" w:cs="Times New Roman"/>
          <w:sz w:val="20"/>
          <w:szCs w:val="20"/>
        </w:rPr>
        <w:t xml:space="preserve">contractantă. </w:t>
      </w:r>
    </w:p>
    <w:p w14:paraId="07AE51D2" w14:textId="03E6914B"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77777777"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6EA5D8F4" w:rsidR="00EA5F18" w:rsidRPr="008D2C82"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Autoritatea/entitatea contractantă are dreptul</w:t>
      </w:r>
      <w:r w:rsidRPr="008D2C82">
        <w:rPr>
          <w:rFonts w:ascii="Times New Roman" w:hAnsi="Times New Roman" w:cs="Times New Roman"/>
          <w:sz w:val="20"/>
          <w:szCs w:val="20"/>
        </w:rPr>
        <w:t>:</w:t>
      </w:r>
    </w:p>
    <w:p w14:paraId="6B80ECF8" w14:textId="26FE60A3"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14:paraId="07CE1EAA" w14:textId="3ABDD6F7"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4D4359FC"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53F83BC0" w:rsidR="005B0BE5" w:rsidRPr="00DD0375"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Termenul de plată este de maxim</w:t>
      </w:r>
      <w:r w:rsidR="004626B6">
        <w:rPr>
          <w:rFonts w:ascii="Times New Roman" w:hAnsi="Times New Roman" w:cs="Times New Roman"/>
          <w:sz w:val="20"/>
          <w:szCs w:val="20"/>
        </w:rPr>
        <w:t xml:space="preserve"> 60 </w:t>
      </w:r>
      <w:r w:rsidRPr="00DD0375">
        <w:rPr>
          <w:rFonts w:ascii="Times New Roman" w:hAnsi="Times New Roman" w:cs="Times New Roman"/>
          <w:sz w:val="20"/>
          <w:szCs w:val="20"/>
        </w:rPr>
        <w:t xml:space="preserve">de zile de la momentul recepționării facturii, conform prevederilor Legii nr. 72/2013. </w:t>
      </w:r>
    </w:p>
    <w:p w14:paraId="180BEAE7" w14:textId="7BD7B1AA" w:rsidR="008F058E" w:rsidRPr="008F058E"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7513F4B3"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B81536D" w:rsidR="0082675C"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0B261BE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r w:rsidR="004626B6">
        <w:rPr>
          <w:rFonts w:ascii="Times New Roman" w:hAnsi="Times New Roman" w:cs="Times New Roman"/>
          <w:sz w:val="20"/>
          <w:szCs w:val="20"/>
        </w:rPr>
        <w:t xml:space="preserve"> </w:t>
      </w:r>
      <w:r w:rsidR="004626B6" w:rsidRPr="004626B6">
        <w:rPr>
          <w:rFonts w:ascii="Times New Roman" w:hAnsi="Times New Roman" w:cs="Times New Roman"/>
          <w:sz w:val="20"/>
          <w:szCs w:val="20"/>
        </w:rPr>
        <w:t>Acest termen poate fi prelungit la solicitarea justificată a contractantului, fără a depăși 15 zile de la data semnării contractului de achiziție publică.</w:t>
      </w:r>
    </w:p>
    <w:p w14:paraId="2EED6E88" w14:textId="45BCF062"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690D63A4" w14:textId="500A4882" w:rsidR="003E789B" w:rsidRPr="0055701B" w:rsidRDefault="004D3CE5" w:rsidP="004626B6">
      <w:pPr>
        <w:pStyle w:val="ListParagraph"/>
        <w:numPr>
          <w:ilvl w:val="0"/>
          <w:numId w:val="43"/>
        </w:numPr>
        <w:spacing w:before="120" w:after="120" w:line="276" w:lineRule="auto"/>
        <w:ind w:left="0" w:firstLine="0"/>
        <w:contextualSpacing w:val="0"/>
        <w:jc w:val="both"/>
        <w:rPr>
          <w:rFonts w:ascii="Times New Roman" w:hAnsi="Times New Roman" w:cs="Times New Roman"/>
          <w:i/>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6AD6FC68" w:rsidR="003E789B"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007922F6">
        <w:rPr>
          <w:rFonts w:ascii="Times New Roman" w:hAnsi="Times New Roman" w:cs="Times New Roman"/>
          <w:sz w:val="20"/>
          <w:szCs w:val="20"/>
        </w:rPr>
        <w:t xml:space="preserve"> </w:t>
      </w:r>
      <w:r w:rsidR="007922F6" w:rsidRPr="0055701B">
        <w:rPr>
          <w:rFonts w:ascii="Times New Roman" w:hAnsi="Times New Roman" w:cs="Times New Roman"/>
          <w:i/>
          <w:sz w:val="20"/>
          <w:szCs w:val="20"/>
        </w:rPr>
        <w:t>și în conformitate cu graficul de plăți</w:t>
      </w:r>
      <w:r w:rsidRPr="0055701B">
        <w:rPr>
          <w:rFonts w:ascii="Times New Roman" w:hAnsi="Times New Roman" w:cs="Times New Roman"/>
          <w:i/>
          <w:sz w:val="20"/>
          <w:szCs w:val="20"/>
        </w:rPr>
        <w:t>.</w:t>
      </w:r>
    </w:p>
    <w:p w14:paraId="42B4AEE6" w14:textId="244EFB58" w:rsidR="003E789B" w:rsidRPr="0091731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77777777" w:rsidR="00553FBF"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w:t>
      </w:r>
      <w:r w:rsidR="003E789B"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77777777"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fără întârziere.</w:t>
      </w:r>
    </w:p>
    <w:p w14:paraId="17A08442" w14:textId="77777777"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lastRenderedPageBreak/>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77777777"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14:paraId="796A3C6F" w14:textId="783A71D5" w:rsidR="004D3CE5"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77777777"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14:paraId="44126219" w14:textId="77777777"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5078AD2E" w14:textId="77777777" w:rsidR="009D68CB" w:rsidRPr="009E5C1E" w:rsidRDefault="009D68CB" w:rsidP="009D68C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În cazul în care, Contractantul nu își îndeplinește la termen obligațiile de furnizare a bunurilor, atunci Autoritatea/entitatea contractantă are dreptul de a percepe dobânda legală penalizatoare prevăzută la art. 3 alin. 2</w:t>
      </w:r>
      <w:r w:rsidRPr="00F950B4">
        <w:rPr>
          <w:rFonts w:ascii="Times New Roman" w:hAnsi="Times New Roman" w:cs="Times New Roman"/>
          <w:sz w:val="20"/>
          <w:szCs w:val="20"/>
          <w:vertAlign w:val="superscript"/>
        </w:rPr>
        <w:t>1</w:t>
      </w:r>
      <w:r w:rsidRPr="00F950B4">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F950B4">
        <w:rPr>
          <w:rFonts w:ascii="Times New Roman" w:hAnsi="Times New Roman" w:cs="Times New Roman"/>
          <w:i/>
          <w:sz w:val="20"/>
          <w:szCs w:val="20"/>
        </w:rPr>
        <w:t>dar nu mai mult de valoarea produselor nelivrate.</w:t>
      </w:r>
      <w:r>
        <w:rPr>
          <w:rFonts w:ascii="Times New Roman" w:hAnsi="Times New Roman" w:cs="Times New Roman"/>
          <w:i/>
          <w:color w:val="FF0000"/>
          <w:sz w:val="20"/>
          <w:szCs w:val="20"/>
        </w:rPr>
        <w:t xml:space="preserve"> </w:t>
      </w:r>
    </w:p>
    <w:p w14:paraId="6F7834CC" w14:textId="1D185B0A"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ph"/>
        <w:ind w:left="0"/>
        <w:jc w:val="both"/>
        <w:rPr>
          <w:rFonts w:ascii="Times New Roman" w:hAnsi="Times New Roman" w:cs="Times New Roman"/>
          <w:sz w:val="20"/>
          <w:szCs w:val="20"/>
        </w:rPr>
      </w:pPr>
    </w:p>
    <w:p w14:paraId="22D245B1" w14:textId="6A3EC926"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0A40E5B4"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w:t>
      </w:r>
      <w:r w:rsidRPr="0055701B">
        <w:rPr>
          <w:rFonts w:ascii="Times New Roman" w:hAnsi="Times New Roman" w:cs="Times New Roman"/>
          <w:sz w:val="20"/>
          <w:szCs w:val="20"/>
        </w:rPr>
        <w:lastRenderedPageBreak/>
        <w:t xml:space="preserve">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3D34CDBD" w:rsidR="004D3CE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00585A50">
        <w:rPr>
          <w:rFonts w:ascii="Times New Roman" w:hAnsi="Times New Roman" w:cs="Times New Roman"/>
          <w:sz w:val="20"/>
          <w:szCs w:val="20"/>
        </w:rPr>
        <w:t>.</w:t>
      </w:r>
    </w:p>
    <w:p w14:paraId="192186C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63D3047" w14:textId="7D9B0D38"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14:textId="77777777"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22C41154" w:rsidR="00C63B51"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43303714" w:rsidR="004D3CE5"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4E13AAA9" w:rsidR="004D3CE5" w:rsidRPr="00E0776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Neconformitățile, în termenul comunicat de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p>
    <w:p w14:paraId="1F803106"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421C25C0"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A10107">
        <w:rPr>
          <w:rFonts w:ascii="Times New Roman" w:hAnsi="Times New Roman" w:cs="Times New Roman"/>
          <w:sz w:val="20"/>
          <w:szCs w:val="20"/>
        </w:rPr>
        <w:t xml:space="preserve"> 60 </w:t>
      </w:r>
      <w:r w:rsidRPr="0055701B">
        <w:rPr>
          <w:rFonts w:ascii="Times New Roman" w:hAnsi="Times New Roman" w:cs="Times New Roman"/>
          <w:i/>
          <w:sz w:val="20"/>
          <w:szCs w:val="20"/>
        </w:rPr>
        <w:t>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14:paraId="22DE1E9C" w14:textId="4317433D"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14:paraId="21C44A14"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218DFA5E"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 </w:t>
      </w:r>
      <w:r w:rsidR="00A10107">
        <w:rPr>
          <w:rFonts w:ascii="Times New Roman" w:hAnsi="Times New Roman" w:cs="Times New Roman"/>
          <w:i/>
          <w:sz w:val="20"/>
          <w:szCs w:val="20"/>
        </w:rPr>
        <w:t xml:space="preserve">60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E0776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4344BB0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7C167B3B"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14:paraId="3189CBD2" w14:textId="7E6B128B" w:rsidR="004D3CE5" w:rsidRPr="00E0776D"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76DF00E6"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lastRenderedPageBreak/>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4B921EC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cs="Times New Roman"/>
          <w:sz w:val="20"/>
          <w:szCs w:val="20"/>
        </w:rPr>
        <w:t>/entității</w:t>
      </w:r>
      <w:r w:rsidRPr="00D60DE8">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Autoritatea/entitatea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5BE52431" w14:textId="59A51741"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51ACB524"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14:paraId="5718E5D7" w14:textId="0E1785D6"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A852E3E" w14:textId="3EDD9529"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Pr="00E0776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Pr="00E0776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48E5D32"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sz w:val="20"/>
          <w:szCs w:val="20"/>
        </w:rPr>
        <w:t xml:space="preserve"> </w:t>
      </w:r>
      <w:r w:rsidR="0020271A">
        <w:rPr>
          <w:rFonts w:ascii="Times New Roman" w:hAnsi="Times New Roman" w:cs="Times New Roman"/>
          <w:i/>
          <w:sz w:val="20"/>
          <w:szCs w:val="20"/>
        </w:rPr>
        <w:t>15 zile</w:t>
      </w:r>
      <w:r w:rsidRPr="00E0776D">
        <w:rPr>
          <w:rFonts w:ascii="Times New Roman" w:hAnsi="Times New Roman" w:cs="Times New Roman"/>
          <w:sz w:val="20"/>
          <w:szCs w:val="20"/>
        </w:rPr>
        <w:t xml:space="preserve"> la solicitare, oricare din Părți are dreptul de a se adresa instanțelor de judecată competente.</w:t>
      </w:r>
    </w:p>
    <w:p w14:paraId="72EE0F0F" w14:textId="4AF5C1B6" w:rsidR="004D3CE5" w:rsidRPr="00E0776D" w:rsidRDefault="004D3CE5" w:rsidP="009B3F60">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E86062" w:rsidRPr="00E0776D" w14:paraId="6653B192" w14:textId="77777777" w:rsidTr="00E86062">
        <w:tc>
          <w:tcPr>
            <w:tcW w:w="4813"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CB91BED" w14:textId="4C3D6AD7"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0CC3FF78" w14:textId="75C7CFA6" w:rsidR="00984D13" w:rsidRPr="00410979" w:rsidRDefault="00984D13" w:rsidP="00410979">
      <w:pPr>
        <w:rPr>
          <w:rFonts w:ascii="Times New Roman" w:hAnsi="Times New Roman" w:cs="Times New Roman"/>
          <w:sz w:val="24"/>
          <w:szCs w:val="24"/>
        </w:rPr>
      </w:pPr>
    </w:p>
    <w:sectPr w:rsidR="00984D13" w:rsidRPr="00410979" w:rsidSect="00CF1A29">
      <w:footerReference w:type="default" r:id="rId8"/>
      <w:headerReference w:type="first" r:id="rId9"/>
      <w:footerReference w:type="first" r:id="rId10"/>
      <w:pgSz w:w="11906" w:h="16838"/>
      <w:pgMar w:top="1313" w:right="1418" w:bottom="1134" w:left="1418"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E846" w14:textId="77777777" w:rsidR="00963DD8" w:rsidRDefault="00963DD8" w:rsidP="001504ED">
      <w:pPr>
        <w:spacing w:after="0" w:line="240" w:lineRule="auto"/>
      </w:pPr>
      <w:r>
        <w:separator/>
      </w:r>
    </w:p>
  </w:endnote>
  <w:endnote w:type="continuationSeparator" w:id="0">
    <w:p w14:paraId="14375130" w14:textId="77777777" w:rsidR="00963DD8" w:rsidRDefault="00963DD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Cambri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D4AB" w14:textId="67A421C0" w:rsidR="005A34AA" w:rsidRPr="000C281D" w:rsidRDefault="005A34AA">
    <w:pPr>
      <w:pStyle w:val="Footer"/>
      <w:jc w:val="center"/>
      <w:rPr>
        <w:rFonts w:ascii="Times New Roman" w:hAnsi="Times New Roman" w:cs="Times New Roman"/>
        <w:caps/>
        <w:noProof/>
        <w:color w:val="000000" w:themeColor="text1"/>
      </w:rPr>
    </w:pPr>
    <w:r w:rsidRPr="000C281D">
      <w:rPr>
        <w:rFonts w:ascii="Times New Roman" w:hAnsi="Times New Roman" w:cs="Times New Roman"/>
        <w:caps/>
        <w:color w:val="000000" w:themeColor="text1"/>
      </w:rPr>
      <w:fldChar w:fldCharType="begin"/>
    </w:r>
    <w:r w:rsidRPr="000C281D">
      <w:rPr>
        <w:rFonts w:ascii="Times New Roman" w:hAnsi="Times New Roman" w:cs="Times New Roman"/>
        <w:caps/>
        <w:color w:val="000000" w:themeColor="text1"/>
      </w:rPr>
      <w:instrText xml:space="preserve"> PAGE   \* MERGEFORMAT </w:instrText>
    </w:r>
    <w:r w:rsidRPr="000C281D">
      <w:rPr>
        <w:rFonts w:ascii="Times New Roman" w:hAnsi="Times New Roman" w:cs="Times New Roman"/>
        <w:caps/>
        <w:color w:val="000000" w:themeColor="text1"/>
      </w:rPr>
      <w:fldChar w:fldCharType="separate"/>
    </w:r>
    <w:r w:rsidR="00AB54F7" w:rsidRPr="000C281D">
      <w:rPr>
        <w:rFonts w:ascii="Times New Roman" w:hAnsi="Times New Roman" w:cs="Times New Roman"/>
        <w:caps/>
        <w:noProof/>
        <w:color w:val="000000" w:themeColor="text1"/>
      </w:rPr>
      <w:t>24</w:t>
    </w:r>
    <w:r w:rsidRPr="000C281D">
      <w:rPr>
        <w:rFonts w:ascii="Times New Roman" w:hAnsi="Times New Roman" w:cs="Times New Roman"/>
        <w:caps/>
        <w:noProof/>
        <w:color w:val="000000" w:themeColor="tex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4A051" w14:textId="77777777" w:rsidR="00963DD8" w:rsidRDefault="00963DD8" w:rsidP="001504ED">
      <w:pPr>
        <w:spacing w:after="0" w:line="240" w:lineRule="auto"/>
      </w:pPr>
      <w:r>
        <w:separator/>
      </w:r>
    </w:p>
  </w:footnote>
  <w:footnote w:type="continuationSeparator" w:id="0">
    <w:p w14:paraId="27BD24C8" w14:textId="77777777" w:rsidR="00963DD8" w:rsidRDefault="00963DD8"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EEA4" w14:textId="6ADE852F" w:rsidR="00C02433" w:rsidRDefault="00435E5A" w:rsidP="00CF1A29">
    <w:pPr>
      <w:pStyle w:val="Header"/>
      <w:rPr>
        <w:noProof/>
      </w:rPr>
    </w:pPr>
    <w:r>
      <w:rPr>
        <w:noProof/>
      </w:rPr>
      <w:drawing>
        <wp:anchor distT="0" distB="0" distL="114300" distR="114300" simplePos="0" relativeHeight="251659264" behindDoc="0" locked="0" layoutInCell="1" allowOverlap="1" wp14:anchorId="50C0E5A2" wp14:editId="614EEB78">
          <wp:simplePos x="0" y="0"/>
          <wp:positionH relativeFrom="column">
            <wp:posOffset>-266700</wp:posOffset>
          </wp:positionH>
          <wp:positionV relativeFrom="paragraph">
            <wp:posOffset>-203200</wp:posOffset>
          </wp:positionV>
          <wp:extent cx="2743200" cy="883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1D324" w14:textId="50ABD385" w:rsidR="005A34AA" w:rsidRPr="00CF1A29" w:rsidRDefault="005A34AA" w:rsidP="00CF1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7907085"/>
    <w:multiLevelType w:val="hybridMultilevel"/>
    <w:tmpl w:val="E63A0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2"/>
  </w:num>
  <w:num w:numId="6">
    <w:abstractNumId w:val="122"/>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20"/>
  </w:num>
  <w:num w:numId="15">
    <w:abstractNumId w:val="139"/>
  </w:num>
  <w:num w:numId="16">
    <w:abstractNumId w:val="32"/>
  </w:num>
  <w:num w:numId="17">
    <w:abstractNumId w:val="91"/>
  </w:num>
  <w:num w:numId="18">
    <w:abstractNumId w:val="108"/>
  </w:num>
  <w:num w:numId="19">
    <w:abstractNumId w:val="44"/>
  </w:num>
  <w:num w:numId="20">
    <w:abstractNumId w:val="96"/>
  </w:num>
  <w:num w:numId="21">
    <w:abstractNumId w:val="119"/>
  </w:num>
  <w:num w:numId="22">
    <w:abstractNumId w:val="25"/>
  </w:num>
  <w:num w:numId="23">
    <w:abstractNumId w:val="10"/>
  </w:num>
  <w:num w:numId="24">
    <w:abstractNumId w:val="87"/>
  </w:num>
  <w:num w:numId="25">
    <w:abstractNumId w:val="89"/>
  </w:num>
  <w:num w:numId="26">
    <w:abstractNumId w:val="140"/>
  </w:num>
  <w:num w:numId="27">
    <w:abstractNumId w:val="22"/>
  </w:num>
  <w:num w:numId="28">
    <w:abstractNumId w:val="9"/>
  </w:num>
  <w:num w:numId="29">
    <w:abstractNumId w:val="110"/>
  </w:num>
  <w:num w:numId="30">
    <w:abstractNumId w:val="144"/>
  </w:num>
  <w:num w:numId="31">
    <w:abstractNumId w:val="71"/>
  </w:num>
  <w:num w:numId="32">
    <w:abstractNumId w:val="102"/>
  </w:num>
  <w:num w:numId="33">
    <w:abstractNumId w:val="130"/>
  </w:num>
  <w:num w:numId="34">
    <w:abstractNumId w:val="137"/>
  </w:num>
  <w:num w:numId="35">
    <w:abstractNumId w:val="68"/>
  </w:num>
  <w:num w:numId="36">
    <w:abstractNumId w:val="145"/>
  </w:num>
  <w:num w:numId="37">
    <w:abstractNumId w:val="78"/>
  </w:num>
  <w:num w:numId="38">
    <w:abstractNumId w:val="63"/>
  </w:num>
  <w:num w:numId="39">
    <w:abstractNumId w:val="79"/>
  </w:num>
  <w:num w:numId="40">
    <w:abstractNumId w:val="94"/>
  </w:num>
  <w:num w:numId="41">
    <w:abstractNumId w:val="126"/>
  </w:num>
  <w:num w:numId="42">
    <w:abstractNumId w:val="129"/>
  </w:num>
  <w:num w:numId="43">
    <w:abstractNumId w:val="124"/>
  </w:num>
  <w:num w:numId="44">
    <w:abstractNumId w:val="72"/>
  </w:num>
  <w:num w:numId="45">
    <w:abstractNumId w:val="21"/>
  </w:num>
  <w:num w:numId="46">
    <w:abstractNumId w:val="123"/>
  </w:num>
  <w:num w:numId="47">
    <w:abstractNumId w:val="8"/>
  </w:num>
  <w:num w:numId="48">
    <w:abstractNumId w:val="135"/>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6"/>
  </w:num>
  <w:num w:numId="57">
    <w:abstractNumId w:val="117"/>
  </w:num>
  <w:num w:numId="58">
    <w:abstractNumId w:val="83"/>
  </w:num>
  <w:num w:numId="59">
    <w:abstractNumId w:val="29"/>
  </w:num>
  <w:num w:numId="60">
    <w:abstractNumId w:val="147"/>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9"/>
  </w:num>
  <w:num w:numId="68">
    <w:abstractNumId w:val="134"/>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2"/>
  </w:num>
  <w:num w:numId="78">
    <w:abstractNumId w:val="141"/>
  </w:num>
  <w:num w:numId="79">
    <w:abstractNumId w:val="77"/>
  </w:num>
  <w:num w:numId="80">
    <w:abstractNumId w:val="111"/>
  </w:num>
  <w:num w:numId="81">
    <w:abstractNumId w:val="31"/>
  </w:num>
  <w:num w:numId="82">
    <w:abstractNumId w:val="128"/>
  </w:num>
  <w:num w:numId="83">
    <w:abstractNumId w:val="118"/>
  </w:num>
  <w:num w:numId="84">
    <w:abstractNumId w:val="86"/>
  </w:num>
  <w:num w:numId="85">
    <w:abstractNumId w:val="88"/>
  </w:num>
  <w:num w:numId="86">
    <w:abstractNumId w:val="131"/>
  </w:num>
  <w:num w:numId="87">
    <w:abstractNumId w:val="100"/>
  </w:num>
  <w:num w:numId="88">
    <w:abstractNumId w:val="51"/>
  </w:num>
  <w:num w:numId="89">
    <w:abstractNumId w:val="33"/>
  </w:num>
  <w:num w:numId="90">
    <w:abstractNumId w:val="17"/>
  </w:num>
  <w:num w:numId="91">
    <w:abstractNumId w:val="3"/>
  </w:num>
  <w:num w:numId="92">
    <w:abstractNumId w:val="143"/>
  </w:num>
  <w:num w:numId="93">
    <w:abstractNumId w:val="112"/>
  </w:num>
  <w:num w:numId="94">
    <w:abstractNumId w:val="113"/>
  </w:num>
  <w:num w:numId="95">
    <w:abstractNumId w:val="58"/>
  </w:num>
  <w:num w:numId="96">
    <w:abstractNumId w:val="49"/>
  </w:num>
  <w:num w:numId="97">
    <w:abstractNumId w:val="27"/>
  </w:num>
  <w:num w:numId="98">
    <w:abstractNumId w:val="11"/>
  </w:num>
  <w:num w:numId="99">
    <w:abstractNumId w:val="85"/>
  </w:num>
  <w:num w:numId="100">
    <w:abstractNumId w:val="148"/>
  </w:num>
  <w:num w:numId="101">
    <w:abstractNumId w:val="36"/>
  </w:num>
  <w:num w:numId="102">
    <w:abstractNumId w:val="4"/>
  </w:num>
  <w:num w:numId="103">
    <w:abstractNumId w:val="125"/>
  </w:num>
  <w:num w:numId="104">
    <w:abstractNumId w:val="20"/>
  </w:num>
  <w:num w:numId="105">
    <w:abstractNumId w:val="116"/>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8"/>
  </w:num>
  <w:num w:numId="124">
    <w:abstractNumId w:val="82"/>
  </w:num>
  <w:num w:numId="125">
    <w:abstractNumId w:val="15"/>
  </w:num>
  <w:num w:numId="126">
    <w:abstractNumId w:val="115"/>
  </w:num>
  <w:num w:numId="127">
    <w:abstractNumId w:val="104"/>
  </w:num>
  <w:num w:numId="128">
    <w:abstractNumId w:val="15"/>
  </w:num>
  <w:num w:numId="129">
    <w:abstractNumId w:val="46"/>
  </w:num>
  <w:num w:numId="130">
    <w:abstractNumId w:val="114"/>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6"/>
  </w:num>
  <w:num w:numId="138">
    <w:abstractNumId w:val="52"/>
  </w:num>
  <w:num w:numId="139">
    <w:abstractNumId w:val="105"/>
  </w:num>
  <w:num w:numId="140">
    <w:abstractNumId w:val="30"/>
  </w:num>
  <w:num w:numId="141">
    <w:abstractNumId w:val="127"/>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1"/>
  </w:num>
  <w:num w:numId="157">
    <w:abstractNumId w:val="133"/>
  </w:num>
  <w:num w:numId="158">
    <w:abstractNumId w:val="10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57F"/>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281D"/>
    <w:rsid w:val="000C57B6"/>
    <w:rsid w:val="000C57F6"/>
    <w:rsid w:val="000D049F"/>
    <w:rsid w:val="000D0688"/>
    <w:rsid w:val="000D4DE6"/>
    <w:rsid w:val="000D5D18"/>
    <w:rsid w:val="000D6A6B"/>
    <w:rsid w:val="000D76B6"/>
    <w:rsid w:val="000D7854"/>
    <w:rsid w:val="000D7C98"/>
    <w:rsid w:val="000E30DE"/>
    <w:rsid w:val="000E3D37"/>
    <w:rsid w:val="000E4F9F"/>
    <w:rsid w:val="000E51D9"/>
    <w:rsid w:val="000E54CE"/>
    <w:rsid w:val="000E5807"/>
    <w:rsid w:val="000E68FA"/>
    <w:rsid w:val="000F015E"/>
    <w:rsid w:val="000F01EF"/>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282C"/>
    <w:rsid w:val="001142DF"/>
    <w:rsid w:val="00114B71"/>
    <w:rsid w:val="00115589"/>
    <w:rsid w:val="00115748"/>
    <w:rsid w:val="00116813"/>
    <w:rsid w:val="00116B00"/>
    <w:rsid w:val="00120382"/>
    <w:rsid w:val="00120E8D"/>
    <w:rsid w:val="00121D61"/>
    <w:rsid w:val="001220BE"/>
    <w:rsid w:val="001228B7"/>
    <w:rsid w:val="00122A43"/>
    <w:rsid w:val="00124E46"/>
    <w:rsid w:val="001257F9"/>
    <w:rsid w:val="00126800"/>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22"/>
    <w:rsid w:val="001C1357"/>
    <w:rsid w:val="001C19B0"/>
    <w:rsid w:val="001C2AE6"/>
    <w:rsid w:val="001C2FA7"/>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271A"/>
    <w:rsid w:val="00203BAC"/>
    <w:rsid w:val="00207047"/>
    <w:rsid w:val="002076A0"/>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3BA6"/>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3C4B"/>
    <w:rsid w:val="003D42F6"/>
    <w:rsid w:val="003D4BD2"/>
    <w:rsid w:val="003D79FE"/>
    <w:rsid w:val="003E1788"/>
    <w:rsid w:val="003E2794"/>
    <w:rsid w:val="003E3975"/>
    <w:rsid w:val="003E39C6"/>
    <w:rsid w:val="003E4666"/>
    <w:rsid w:val="003E4AF3"/>
    <w:rsid w:val="003E6996"/>
    <w:rsid w:val="003E7051"/>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E5A"/>
    <w:rsid w:val="00440133"/>
    <w:rsid w:val="004404E2"/>
    <w:rsid w:val="004406B0"/>
    <w:rsid w:val="00443125"/>
    <w:rsid w:val="0044440A"/>
    <w:rsid w:val="00445E67"/>
    <w:rsid w:val="004464B1"/>
    <w:rsid w:val="004471F8"/>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59"/>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42EC"/>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582E"/>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413"/>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0ECE"/>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2B0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27A30"/>
    <w:rsid w:val="00631E70"/>
    <w:rsid w:val="00632AE9"/>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179"/>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1C6"/>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688"/>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2A80"/>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59E9"/>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586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51AA"/>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47BF2"/>
    <w:rsid w:val="00953E63"/>
    <w:rsid w:val="009546E8"/>
    <w:rsid w:val="009559A0"/>
    <w:rsid w:val="00955E91"/>
    <w:rsid w:val="0095687A"/>
    <w:rsid w:val="00956A14"/>
    <w:rsid w:val="009629EB"/>
    <w:rsid w:val="00963DD8"/>
    <w:rsid w:val="00964C49"/>
    <w:rsid w:val="009664BC"/>
    <w:rsid w:val="00966E4E"/>
    <w:rsid w:val="00967DEC"/>
    <w:rsid w:val="00970778"/>
    <w:rsid w:val="00970992"/>
    <w:rsid w:val="009723B1"/>
    <w:rsid w:val="00973E27"/>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3F60"/>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8CB"/>
    <w:rsid w:val="009D6E2F"/>
    <w:rsid w:val="009D7318"/>
    <w:rsid w:val="009D7A1C"/>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2DA"/>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B31"/>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4217"/>
    <w:rsid w:val="00BF55BB"/>
    <w:rsid w:val="00BF5A4C"/>
    <w:rsid w:val="00BF647E"/>
    <w:rsid w:val="00BF69DA"/>
    <w:rsid w:val="00BF72C9"/>
    <w:rsid w:val="00C00B43"/>
    <w:rsid w:val="00C013B3"/>
    <w:rsid w:val="00C01447"/>
    <w:rsid w:val="00C015EA"/>
    <w:rsid w:val="00C01BAD"/>
    <w:rsid w:val="00C02433"/>
    <w:rsid w:val="00C0299F"/>
    <w:rsid w:val="00C029C7"/>
    <w:rsid w:val="00C03200"/>
    <w:rsid w:val="00C04190"/>
    <w:rsid w:val="00C057EB"/>
    <w:rsid w:val="00C05F6E"/>
    <w:rsid w:val="00C10193"/>
    <w:rsid w:val="00C117A5"/>
    <w:rsid w:val="00C12AF1"/>
    <w:rsid w:val="00C12C46"/>
    <w:rsid w:val="00C143F4"/>
    <w:rsid w:val="00C14C4D"/>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2B2"/>
    <w:rsid w:val="00C43DEC"/>
    <w:rsid w:val="00C43FC3"/>
    <w:rsid w:val="00C446BA"/>
    <w:rsid w:val="00C44CBE"/>
    <w:rsid w:val="00C44EA8"/>
    <w:rsid w:val="00C45B1F"/>
    <w:rsid w:val="00C47213"/>
    <w:rsid w:val="00C474B1"/>
    <w:rsid w:val="00C4763C"/>
    <w:rsid w:val="00C50A5A"/>
    <w:rsid w:val="00C52CF7"/>
    <w:rsid w:val="00C533B9"/>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3E50"/>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344"/>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1A29"/>
    <w:rsid w:val="00CF2240"/>
    <w:rsid w:val="00CF2AF0"/>
    <w:rsid w:val="00CF3437"/>
    <w:rsid w:val="00CF4E45"/>
    <w:rsid w:val="00D00C3D"/>
    <w:rsid w:val="00D01EBE"/>
    <w:rsid w:val="00D02676"/>
    <w:rsid w:val="00D027AE"/>
    <w:rsid w:val="00D034C4"/>
    <w:rsid w:val="00D035D5"/>
    <w:rsid w:val="00D046A6"/>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7ED"/>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252E"/>
    <w:rsid w:val="00D63C67"/>
    <w:rsid w:val="00D63D72"/>
    <w:rsid w:val="00D642E3"/>
    <w:rsid w:val="00D64F40"/>
    <w:rsid w:val="00D657A5"/>
    <w:rsid w:val="00D66911"/>
    <w:rsid w:val="00D66BE1"/>
    <w:rsid w:val="00D67578"/>
    <w:rsid w:val="00D71433"/>
    <w:rsid w:val="00D71DEB"/>
    <w:rsid w:val="00D7219D"/>
    <w:rsid w:val="00D73384"/>
    <w:rsid w:val="00D73DB3"/>
    <w:rsid w:val="00D74E8B"/>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C41"/>
    <w:rsid w:val="00DE7FDD"/>
    <w:rsid w:val="00DF0DDE"/>
    <w:rsid w:val="00DF1719"/>
    <w:rsid w:val="00DF227F"/>
    <w:rsid w:val="00DF283C"/>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3D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327"/>
    <w:rsid w:val="00E54ED1"/>
    <w:rsid w:val="00E55DC6"/>
    <w:rsid w:val="00E56CA1"/>
    <w:rsid w:val="00E57D8F"/>
    <w:rsid w:val="00E57DAA"/>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7A0"/>
    <w:rsid w:val="00E97D61"/>
    <w:rsid w:val="00EA12B6"/>
    <w:rsid w:val="00EA3364"/>
    <w:rsid w:val="00EA5F18"/>
    <w:rsid w:val="00EA7161"/>
    <w:rsid w:val="00EA7D79"/>
    <w:rsid w:val="00EA7EF0"/>
    <w:rsid w:val="00EB1600"/>
    <w:rsid w:val="00EB1869"/>
    <w:rsid w:val="00EB230A"/>
    <w:rsid w:val="00EB2B89"/>
    <w:rsid w:val="00EB6A82"/>
    <w:rsid w:val="00EB7B2E"/>
    <w:rsid w:val="00EC097F"/>
    <w:rsid w:val="00EC18F9"/>
    <w:rsid w:val="00EC4AF4"/>
    <w:rsid w:val="00EC508D"/>
    <w:rsid w:val="00EC5702"/>
    <w:rsid w:val="00EC5DBC"/>
    <w:rsid w:val="00EC6A21"/>
    <w:rsid w:val="00EC7358"/>
    <w:rsid w:val="00ED2C86"/>
    <w:rsid w:val="00ED33E3"/>
    <w:rsid w:val="00ED3BC8"/>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0D70"/>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007"/>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0888"/>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96AE0"/>
  <w15:chartTrackingRefBased/>
  <w15:docId w15:val="{42FFA4A1-B3B9-4C53-BE7B-E3B36222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UnresolvedMention">
    <w:name w:val="Unresolved Mention"/>
    <w:basedOn w:val="DefaultParagraphFont"/>
    <w:uiPriority w:val="99"/>
    <w:semiHidden/>
    <w:unhideWhenUsed/>
    <w:rsid w:val="00EB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84496440">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298F-7798-4E72-85FC-BD839D99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11299</Words>
  <Characters>64408</Characters>
  <Application>Microsoft Office Word</Application>
  <DocSecurity>0</DocSecurity>
  <Lines>536</Lines>
  <Paragraphs>151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Geanina Țiglă</dc:creator>
  <cp:keywords/>
  <dc:description/>
  <cp:lastModifiedBy>Constantin TURCANU</cp:lastModifiedBy>
  <cp:revision>8</cp:revision>
  <cp:lastPrinted>2025-08-05T16:07:00Z</cp:lastPrinted>
  <dcterms:created xsi:type="dcterms:W3CDTF">2025-08-05T16:07:00Z</dcterms:created>
  <dcterms:modified xsi:type="dcterms:W3CDTF">2026-05-23T06:49:00Z</dcterms:modified>
</cp:coreProperties>
</file>