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6FED" w14:textId="77777777" w:rsidR="00C73C79" w:rsidRPr="00C73C79" w:rsidRDefault="00C73C79" w:rsidP="00C73C79">
      <w:pPr>
        <w:pStyle w:val="Style22"/>
        <w:widowControl/>
        <w:tabs>
          <w:tab w:val="left" w:pos="1349"/>
        </w:tabs>
        <w:spacing w:line="240" w:lineRule="auto"/>
        <w:ind w:left="270" w:right="5875" w:firstLine="0"/>
        <w:rPr>
          <w:rStyle w:val="FontStyle50"/>
          <w:rFonts w:asciiTheme="minorHAnsi" w:hAnsiTheme="minorHAnsi" w:cstheme="minorHAnsi"/>
          <w:b/>
          <w:sz w:val="24"/>
          <w:szCs w:val="24"/>
          <w:lang w:val="fr-FR"/>
        </w:rPr>
      </w:pPr>
      <w:r w:rsidRPr="00C73C79">
        <w:rPr>
          <w:rStyle w:val="FontStyle50"/>
          <w:rFonts w:asciiTheme="minorHAnsi" w:hAnsiTheme="minorHAnsi" w:cstheme="minorHAnsi"/>
          <w:b/>
          <w:sz w:val="24"/>
          <w:szCs w:val="24"/>
          <w:lang w:val="fr-FR"/>
        </w:rPr>
        <w:t>III.1.6.a</w:t>
      </w:r>
      <w:proofErr w:type="gramStart"/>
      <w:r w:rsidRPr="00C73C79">
        <w:rPr>
          <w:rStyle w:val="FontStyle50"/>
          <w:rFonts w:asciiTheme="minorHAnsi" w:hAnsiTheme="minorHAnsi" w:cstheme="minorHAnsi"/>
          <w:b/>
          <w:sz w:val="24"/>
          <w:szCs w:val="24"/>
          <w:lang w:val="fr-FR"/>
        </w:rPr>
        <w:t>)  Garantie</w:t>
      </w:r>
      <w:proofErr w:type="gramEnd"/>
      <w:r w:rsidRPr="00C73C79">
        <w:rPr>
          <w:rStyle w:val="FontStyle50"/>
          <w:rFonts w:asciiTheme="minorHAnsi" w:hAnsiTheme="minorHAnsi" w:cstheme="minorHAnsi"/>
          <w:b/>
          <w:sz w:val="24"/>
          <w:szCs w:val="24"/>
          <w:lang w:val="fr-FR"/>
        </w:rPr>
        <w:t xml:space="preserve"> de </w:t>
      </w:r>
      <w:proofErr w:type="spellStart"/>
      <w:proofErr w:type="gramStart"/>
      <w:r w:rsidRPr="00C73C79">
        <w:rPr>
          <w:rStyle w:val="FontStyle50"/>
          <w:rFonts w:asciiTheme="minorHAnsi" w:hAnsiTheme="minorHAnsi" w:cstheme="minorHAnsi"/>
          <w:b/>
          <w:sz w:val="24"/>
          <w:szCs w:val="24"/>
          <w:lang w:val="fr-FR"/>
        </w:rPr>
        <w:t>participare</w:t>
      </w:r>
      <w:proofErr w:type="spellEnd"/>
      <w:r w:rsidRPr="00C73C79">
        <w:rPr>
          <w:rStyle w:val="FontStyle50"/>
          <w:rFonts w:asciiTheme="minorHAnsi" w:hAnsiTheme="minorHAnsi" w:cstheme="minorHAnsi"/>
          <w:b/>
          <w:sz w:val="24"/>
          <w:szCs w:val="24"/>
          <w:lang w:val="fr-FR"/>
        </w:rPr>
        <w:t>:</w:t>
      </w:r>
      <w:proofErr w:type="gramEnd"/>
    </w:p>
    <w:tbl>
      <w:tblPr>
        <w:tblStyle w:val="TableGrid"/>
        <w:tblW w:w="9972" w:type="dxa"/>
        <w:tblInd w:w="198" w:type="dxa"/>
        <w:tblLook w:val="04A0" w:firstRow="1" w:lastRow="0" w:firstColumn="1" w:lastColumn="0" w:noHBand="0" w:noVBand="1"/>
      </w:tblPr>
      <w:tblGrid>
        <w:gridCol w:w="9972"/>
      </w:tblGrid>
      <w:tr w:rsidR="00C73C79" w:rsidRPr="00742BF1" w14:paraId="56249815" w14:textId="77777777" w:rsidTr="00E775BF">
        <w:trPr>
          <w:trHeight w:val="694"/>
        </w:trPr>
        <w:tc>
          <w:tcPr>
            <w:tcW w:w="9972" w:type="dxa"/>
            <w:shd w:val="clear" w:color="auto" w:fill="F2F2F2" w:themeFill="background1" w:themeFillShade="F2"/>
          </w:tcPr>
          <w:p w14:paraId="6DB9E310" w14:textId="77777777" w:rsidR="00C73C79" w:rsidRPr="00742BF1" w:rsidRDefault="00C73C79" w:rsidP="00E775BF">
            <w:pPr>
              <w:jc w:val="both"/>
              <w:rPr>
                <w:rFonts w:asciiTheme="minorHAnsi" w:eastAsia="Times New Roman" w:hAnsiTheme="minorHAnsi" w:cstheme="minorHAnsi"/>
                <w:lang w:val="fr-FR"/>
              </w:rPr>
            </w:pPr>
            <w:r w:rsidRPr="00742BF1">
              <w:rPr>
                <w:rFonts w:asciiTheme="minorHAnsi" w:eastAsia="Times New Roman" w:hAnsiTheme="minorHAnsi" w:cstheme="minorHAnsi"/>
                <w:lang w:val="fr-FR"/>
              </w:rPr>
              <w:t xml:space="preserve">a)  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/>
              </w:rPr>
              <w:t>Cuantumul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/>
              </w:rPr>
              <w:t>garantiei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/>
              </w:rPr>
              <w:t xml:space="preserve"> </w:t>
            </w:r>
            <w:r w:rsidRPr="00742BF1">
              <w:rPr>
                <w:rFonts w:asciiTheme="minorHAnsi" w:eastAsia="Times New Roman" w:hAnsiTheme="minorHAnsi" w:cstheme="minorHAnsi"/>
                <w:b/>
                <w:bCs/>
                <w:lang w:val="fr-FR"/>
              </w:rPr>
              <w:t>(GP</w:t>
            </w:r>
            <w:proofErr w:type="gramStart"/>
            <w:r w:rsidRPr="00742BF1">
              <w:rPr>
                <w:rFonts w:asciiTheme="minorHAnsi" w:eastAsia="Times New Roman" w:hAnsiTheme="minorHAnsi" w:cstheme="minorHAnsi"/>
                <w:b/>
                <w:bCs/>
                <w:lang w:val="fr-FR"/>
              </w:rPr>
              <w:t>):</w:t>
            </w:r>
            <w:proofErr w:type="gramEnd"/>
            <w:r w:rsidRPr="00742BF1">
              <w:rPr>
                <w:rFonts w:asciiTheme="minorHAnsi" w:eastAsia="Times New Roman" w:hAnsiTheme="minorHAnsi" w:cstheme="minorHAnsi"/>
                <w:b/>
                <w:bCs/>
                <w:lang w:val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lang w:val="fr-FR"/>
              </w:rPr>
              <w:t>908</w:t>
            </w:r>
            <w:r>
              <w:rPr>
                <w:rFonts w:eastAsia="Times New Roman"/>
                <w:b/>
                <w:bCs/>
                <w:lang w:val="fr-FR"/>
              </w:rPr>
              <w:t>,33</w:t>
            </w:r>
            <w:r w:rsidRPr="00742BF1">
              <w:rPr>
                <w:rFonts w:asciiTheme="minorHAnsi" w:eastAsia="Times New Roman" w:hAnsiTheme="minorHAnsi" w:cstheme="minorHAnsi"/>
                <w:b/>
                <w:bCs/>
                <w:lang w:val="fr-FR"/>
              </w:rPr>
              <w:t xml:space="preserve"> lei</w:t>
            </w:r>
          </w:p>
          <w:p w14:paraId="0F48C258" w14:textId="77777777" w:rsidR="00C73C79" w:rsidRPr="00742BF1" w:rsidRDefault="00C73C79" w:rsidP="00E775BF">
            <w:pPr>
              <w:jc w:val="both"/>
              <w:rPr>
                <w:rFonts w:asciiTheme="minorHAnsi" w:eastAsia="Times New Roman" w:hAnsiTheme="minorHAnsi" w:cstheme="minorHAnsi"/>
                <w:lang w:val="fr-FR" w:eastAsia="en-GB"/>
              </w:rPr>
            </w:pPr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b)  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Valabilitatea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GP -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cel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putin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120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zile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incepand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data limita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depunere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proofErr w:type="gram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ofertelor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;</w:t>
            </w:r>
            <w:proofErr w:type="gram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</w:p>
          <w:p w14:paraId="7554623D" w14:textId="77777777" w:rsidR="00C73C79" w:rsidRPr="00742BF1" w:rsidRDefault="00C73C79" w:rsidP="00E775BF">
            <w:pPr>
              <w:jc w:val="both"/>
              <w:rPr>
                <w:rFonts w:asciiTheme="minorHAnsi" w:eastAsia="Times New Roman" w:hAnsiTheme="minorHAnsi" w:cstheme="minorHAnsi"/>
                <w:lang w:val="fr-FR" w:eastAsia="en-GB"/>
              </w:rPr>
            </w:pP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constituie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prin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virament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bancar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sau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printr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-un instrument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garantare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emis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condițiile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legii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.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trebuie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fie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irevocabilă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și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fie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constituită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suma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și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pentru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perioada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valabilitate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prevăzute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documentația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atribuire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.</w:t>
            </w:r>
          </w:p>
          <w:p w14:paraId="4149A7CF" w14:textId="77777777" w:rsidR="00C73C79" w:rsidRPr="00742BF1" w:rsidRDefault="00C73C79" w:rsidP="00E775BF">
            <w:pPr>
              <w:jc w:val="both"/>
              <w:rPr>
                <w:rFonts w:asciiTheme="minorHAnsi" w:eastAsia="Times New Roman" w:hAnsiTheme="minorHAnsi" w:cstheme="minorHAnsi"/>
                <w:lang w:val="fr-FR" w:eastAsia="en-GB"/>
              </w:rPr>
            </w:pP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Instrumentul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garantare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sau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ordinul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virament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transmite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SEAP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împreună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și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celelalte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documente ale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acesteia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cel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mai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târziu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la data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și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ora-limită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depunere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proofErr w:type="gram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ofertelor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;</w:t>
            </w:r>
            <w:proofErr w:type="gram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Instrumentul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garantare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trebuie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prevadă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plata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 va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executa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necondiționat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respectiv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la prima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cerere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autorității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entității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contractante,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baza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declarației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acestuia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privire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la culpa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persoanei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garantate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.</w:t>
            </w:r>
          </w:p>
          <w:p w14:paraId="41B78E89" w14:textId="77777777" w:rsidR="00C73C79" w:rsidRPr="00742BF1" w:rsidRDefault="00C73C79" w:rsidP="00E775BF">
            <w:pPr>
              <w:jc w:val="both"/>
              <w:rPr>
                <w:rFonts w:asciiTheme="minorHAnsi" w:eastAsia="Times New Roman" w:hAnsiTheme="minorHAnsi" w:cstheme="minorHAnsi"/>
                <w:lang w:val="fr-FR" w:eastAsia="en-GB"/>
              </w:rPr>
            </w:pP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cazul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viramentului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bancar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plata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 va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realiza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RO15 RNCB 0169 0183 3187 0001,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deschis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la BCR Hateg.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Documentul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plată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va fi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încărcat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SEAP,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semnat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semnătură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electronică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până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la data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limită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depunere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ofertelor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.</w:t>
            </w:r>
          </w:p>
          <w:p w14:paraId="39E3EB8C" w14:textId="77777777" w:rsidR="00C73C79" w:rsidRPr="00742BF1" w:rsidRDefault="00C73C79" w:rsidP="00E775BF">
            <w:pPr>
              <w:jc w:val="both"/>
              <w:rPr>
                <w:rFonts w:asciiTheme="minorHAnsi" w:eastAsia="Times New Roman" w:hAnsiTheme="minorHAnsi" w:cstheme="minorHAnsi"/>
                <w:lang w:val="fr-FR" w:eastAsia="en-GB"/>
              </w:rPr>
            </w:pP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După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această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dată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autoritatea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entitatea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contractantă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solicită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ofertanților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clarificări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scopul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prezentării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original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documentului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privind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cazul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care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acesta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face parte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din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categoria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documentelor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regim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special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căror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valabilitate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este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condiționată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prezentarea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forma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originală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.</w:t>
            </w:r>
          </w:p>
          <w:p w14:paraId="77D02229" w14:textId="77777777" w:rsidR="00C73C79" w:rsidRPr="00742BF1" w:rsidRDefault="00C73C79" w:rsidP="00E775BF">
            <w:pPr>
              <w:jc w:val="both"/>
              <w:rPr>
                <w:rFonts w:asciiTheme="minorHAnsi" w:eastAsia="Times New Roman" w:hAnsiTheme="minorHAnsi" w:cstheme="minorHAnsi"/>
                <w:lang w:val="fr-FR" w:eastAsia="en-GB"/>
              </w:rPr>
            </w:pPr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NOTA :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Instrumentele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garantare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prevăzute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la art. 164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alin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. (4) lit. b)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din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Lege se transmit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SEAP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împreună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și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celelalte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documente ale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acesteia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cel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mai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târziu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la data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și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ora-limită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depunere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ofertelor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și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trebuie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prevadă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plata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 va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executa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necondiționat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respectiv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la prima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cerere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beneficiarului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baza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declarației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acestuia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privire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la culpa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persoanei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garantate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.</w:t>
            </w:r>
          </w:p>
          <w:p w14:paraId="06BB89F7" w14:textId="77777777" w:rsidR="00C73C79" w:rsidRPr="00742BF1" w:rsidRDefault="00C73C79" w:rsidP="00E775BF">
            <w:pPr>
              <w:jc w:val="both"/>
              <w:rPr>
                <w:rFonts w:asciiTheme="minorHAnsi" w:eastAsia="Times New Roman" w:hAnsiTheme="minorHAnsi" w:cstheme="minorHAnsi"/>
                <w:lang w:val="fr-FR" w:eastAsia="en-GB"/>
              </w:rPr>
            </w:pP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cazul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participării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comun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la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procedura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atribuire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trebuie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constituită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numele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asocierii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și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menționeze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acoperă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mod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solidar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toți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membrii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grupului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operatori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economici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.</w:t>
            </w:r>
          </w:p>
          <w:p w14:paraId="63A88100" w14:textId="77777777" w:rsidR="00C73C79" w:rsidRPr="00742BF1" w:rsidRDefault="00C73C79" w:rsidP="00E775BF">
            <w:pPr>
              <w:jc w:val="both"/>
              <w:rPr>
                <w:rFonts w:asciiTheme="minorHAnsi" w:eastAsia="Times New Roman" w:hAnsiTheme="minorHAnsi" w:cstheme="minorHAnsi"/>
                <w:lang w:val="fr-FR" w:eastAsia="en-GB"/>
              </w:rPr>
            </w:pP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emisă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altă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limbă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 va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încărca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SEAP,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însoțită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traducerea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autorizată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limba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română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urmând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gram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ca</w:t>
            </w:r>
            <w:proofErr w:type="gram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ulterior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la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solicitarea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autorității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contractante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fie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prezentată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forma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originală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emisă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statul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reședință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.</w:t>
            </w:r>
          </w:p>
          <w:p w14:paraId="5269C6A6" w14:textId="77777777" w:rsidR="00C73C79" w:rsidRPr="00742BF1" w:rsidRDefault="00C73C79" w:rsidP="00E775BF">
            <w:pPr>
              <w:jc w:val="both"/>
              <w:rPr>
                <w:rFonts w:asciiTheme="minorHAnsi" w:eastAsia="Times New Roman" w:hAnsiTheme="minorHAnsi" w:cstheme="minorHAnsi"/>
                <w:lang w:val="fr-FR" w:eastAsia="en-GB"/>
              </w:rPr>
            </w:pP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returnează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către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autoritatea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entitatea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contractantă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cel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mult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3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zile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lucrătoare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la data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constituirii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bună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execuție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.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cazul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unei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proceduri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atribuire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unui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acord-cadru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precum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și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cazul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atribuirii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unui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contract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pentru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care nu este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obligatorie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constituirea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bună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execuție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constituită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ofertantul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cărei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fost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stabilită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câștigătoare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restituie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către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autoritatea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entitatea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contractantă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cel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mult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3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zile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lucrătoare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la data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semnării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acordului-cadru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contractului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.</w:t>
            </w:r>
          </w:p>
          <w:p w14:paraId="3EF6AC7D" w14:textId="77777777" w:rsidR="00C73C79" w:rsidRPr="00742BF1" w:rsidRDefault="00C73C79" w:rsidP="00E775BF">
            <w:pPr>
              <w:jc w:val="both"/>
              <w:rPr>
                <w:rFonts w:asciiTheme="minorHAnsi" w:eastAsia="Times New Roman" w:hAnsiTheme="minorHAnsi" w:cstheme="minorHAnsi"/>
                <w:lang w:val="fr-FR" w:eastAsia="en-GB"/>
              </w:rPr>
            </w:pP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constituită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ofertanții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căror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nu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fost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stabilită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câștigătoare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se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restituie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către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autoritatea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entitatea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contractantă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după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semnarea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contractului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achiziție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publică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acordului-cadru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ofertantul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ofertanții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ale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cărui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căror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au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fost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desemnate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câștigătoare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dar nu mai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târziu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3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zile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lucrătoare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la data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semnării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contractului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achiziție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publică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sectorială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acordului-cadru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ofertantul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declarat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câștigător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.</w:t>
            </w:r>
          </w:p>
          <w:p w14:paraId="18441D9D" w14:textId="77777777" w:rsidR="00C73C79" w:rsidRPr="00742BF1" w:rsidRDefault="00C73C79" w:rsidP="00E775BF">
            <w:pPr>
              <w:jc w:val="both"/>
              <w:rPr>
                <w:rFonts w:asciiTheme="minorHAnsi" w:eastAsia="Times New Roman" w:hAnsiTheme="minorHAnsi" w:cstheme="minorHAnsi"/>
                <w:lang w:val="fr-FR" w:eastAsia="en-GB"/>
              </w:rPr>
            </w:pP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cazul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care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autoritatea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entitatea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contractantă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află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situația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gram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 a</w:t>
            </w:r>
            <w:proofErr w:type="gram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anula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procedura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atribuire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restituie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după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data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expirării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termenului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depunere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unei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contestații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privire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la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această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decizie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dar nu mai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târziu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3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zile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lucrătoare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la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această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dată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. </w:t>
            </w:r>
          </w:p>
          <w:p w14:paraId="0830E096" w14:textId="77777777" w:rsidR="00C73C79" w:rsidRPr="00742BF1" w:rsidRDefault="00C73C79" w:rsidP="00E775BF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După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primirea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comunicării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privind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rezultatul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procedurii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atribuire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,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ofertanții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ale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căror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oferte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au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fost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declarate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necâștigătoare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au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dreptul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gram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 a</w:t>
            </w:r>
            <w:proofErr w:type="gram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obține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eliberarea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înainte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expirarea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termenului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depunere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unei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contestații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dacă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transmit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autorității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entității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contractante o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solicitare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acest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sens.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Autoritatea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/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entitatea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contractantă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va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restitui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garanția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participare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cel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mult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3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zile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lucrătoare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de la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primirea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unei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solicitări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în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</w:t>
            </w:r>
            <w:proofErr w:type="spellStart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>acest</w:t>
            </w:r>
            <w:proofErr w:type="spellEnd"/>
            <w:r w:rsidRPr="00742BF1">
              <w:rPr>
                <w:rFonts w:asciiTheme="minorHAnsi" w:eastAsia="Times New Roman" w:hAnsiTheme="minorHAnsi" w:cstheme="minorHAnsi"/>
                <w:lang w:val="fr-FR" w:eastAsia="en-GB"/>
              </w:rPr>
              <w:t xml:space="preserve"> sens.</w:t>
            </w:r>
          </w:p>
        </w:tc>
      </w:tr>
    </w:tbl>
    <w:p w14:paraId="54EB434E" w14:textId="77777777" w:rsidR="00C73C79" w:rsidRPr="00742BF1" w:rsidRDefault="00C73C79" w:rsidP="00C73C79">
      <w:pPr>
        <w:pStyle w:val="Style7"/>
        <w:widowControl/>
        <w:jc w:val="left"/>
        <w:rPr>
          <w:rStyle w:val="FontStyle50"/>
          <w:rFonts w:asciiTheme="minorHAnsi" w:hAnsiTheme="minorHAnsi" w:cstheme="minorHAnsi"/>
          <w:lang w:val="fr-FR"/>
        </w:rPr>
      </w:pPr>
    </w:p>
    <w:p w14:paraId="6081F3D5" w14:textId="77777777" w:rsidR="00C73C79" w:rsidRPr="00C73C79" w:rsidRDefault="00C73C79" w:rsidP="00C73C79">
      <w:pPr>
        <w:pStyle w:val="Style7"/>
        <w:widowControl/>
        <w:ind w:left="270"/>
        <w:jc w:val="left"/>
        <w:rPr>
          <w:rStyle w:val="FontStyle50"/>
          <w:rFonts w:asciiTheme="minorHAnsi" w:hAnsiTheme="minorHAnsi" w:cstheme="minorHAnsi"/>
          <w:b/>
          <w:sz w:val="24"/>
          <w:szCs w:val="24"/>
          <w:lang w:val="fr-FR"/>
        </w:rPr>
      </w:pPr>
      <w:r w:rsidRPr="00C73C79">
        <w:rPr>
          <w:rStyle w:val="FontStyle50"/>
          <w:rFonts w:asciiTheme="minorHAnsi" w:hAnsiTheme="minorHAnsi" w:cstheme="minorHAnsi"/>
          <w:b/>
          <w:sz w:val="24"/>
          <w:szCs w:val="24"/>
          <w:lang w:val="fr-FR"/>
        </w:rPr>
        <w:t xml:space="preserve">III.1.6.b) Garantie de buna </w:t>
      </w:r>
      <w:proofErr w:type="spellStart"/>
      <w:proofErr w:type="gramStart"/>
      <w:r w:rsidRPr="00C73C79">
        <w:rPr>
          <w:rStyle w:val="FontStyle50"/>
          <w:rFonts w:asciiTheme="minorHAnsi" w:hAnsiTheme="minorHAnsi" w:cstheme="minorHAnsi"/>
          <w:b/>
          <w:sz w:val="24"/>
          <w:szCs w:val="24"/>
          <w:lang w:val="fr-FR"/>
        </w:rPr>
        <w:t>executie</w:t>
      </w:r>
      <w:proofErr w:type="spellEnd"/>
      <w:r w:rsidRPr="00C73C79">
        <w:rPr>
          <w:rStyle w:val="FontStyle50"/>
          <w:rFonts w:asciiTheme="minorHAnsi" w:hAnsiTheme="minorHAnsi" w:cstheme="minorHAnsi"/>
          <w:b/>
          <w:sz w:val="24"/>
          <w:szCs w:val="24"/>
          <w:lang w:val="fr-FR"/>
        </w:rPr>
        <w:t>:</w:t>
      </w:r>
      <w:proofErr w:type="gramEnd"/>
    </w:p>
    <w:tbl>
      <w:tblPr>
        <w:tblW w:w="10003" w:type="dxa"/>
        <w:tblInd w:w="19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03"/>
      </w:tblGrid>
      <w:tr w:rsidR="00C73C79" w:rsidRPr="00742BF1" w14:paraId="341569B0" w14:textId="77777777" w:rsidTr="00C73C79">
        <w:trPr>
          <w:trHeight w:val="72"/>
        </w:trPr>
        <w:tc>
          <w:tcPr>
            <w:tcW w:w="10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40CD1" w14:textId="77777777" w:rsidR="00C73C79" w:rsidRPr="00742BF1" w:rsidRDefault="00C73C79" w:rsidP="00E775BF">
            <w:pPr>
              <w:pStyle w:val="maintext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42BF1">
              <w:rPr>
                <w:rFonts w:asciiTheme="minorHAnsi" w:hAnsiTheme="minorHAnsi" w:cstheme="minorHAnsi"/>
                <w:sz w:val="24"/>
                <w:szCs w:val="24"/>
              </w:rPr>
              <w:t>Garantia</w:t>
            </w:r>
            <w:proofErr w:type="spellEnd"/>
            <w:r w:rsidRPr="00742BF1">
              <w:rPr>
                <w:rFonts w:asciiTheme="minorHAnsi" w:hAnsiTheme="minorHAnsi" w:cstheme="minorHAnsi"/>
                <w:sz w:val="24"/>
                <w:szCs w:val="24"/>
              </w:rPr>
              <w:t xml:space="preserve"> trebuie sa fie irevocabila. Cuantum: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</w:rPr>
              <w:t>0</w:t>
            </w:r>
            <w:r w:rsidRPr="00742B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%</w:t>
            </w:r>
            <w:r w:rsidRPr="00742BF1">
              <w:rPr>
                <w:rFonts w:asciiTheme="minorHAnsi" w:hAnsiTheme="minorHAnsi" w:cstheme="minorHAnsi"/>
                <w:sz w:val="24"/>
                <w:szCs w:val="24"/>
              </w:rPr>
              <w:t xml:space="preserve"> din valoarea </w:t>
            </w:r>
            <w:proofErr w:type="spellStart"/>
            <w:r w:rsidRPr="00742BF1">
              <w:rPr>
                <w:rFonts w:asciiTheme="minorHAnsi" w:hAnsiTheme="minorHAnsi" w:cstheme="minorHAnsi"/>
                <w:sz w:val="24"/>
                <w:szCs w:val="24"/>
              </w:rPr>
              <w:t>fara</w:t>
            </w:r>
            <w:proofErr w:type="spellEnd"/>
            <w:r w:rsidRPr="00742BF1">
              <w:rPr>
                <w:rFonts w:asciiTheme="minorHAnsi" w:hAnsiTheme="minorHAnsi" w:cstheme="minorHAnsi"/>
                <w:sz w:val="24"/>
                <w:szCs w:val="24"/>
              </w:rPr>
              <w:t xml:space="preserve"> TVA totală a contractului, </w:t>
            </w:r>
            <w:r w:rsidRPr="00742BF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și se va constitui în conformitate cu prevederile art. 164 alin (3) și (4) din Legea 99/2016, precum și cu prevederile art. 46 din Anexa la H.G. nr. 394/2016, cu modificările și completările ulterioare. </w:t>
            </w:r>
          </w:p>
          <w:p w14:paraId="231C90FC" w14:textId="77777777" w:rsidR="00C73C79" w:rsidRPr="00742BF1" w:rsidRDefault="00C73C79" w:rsidP="00E775BF">
            <w:pPr>
              <w:pStyle w:val="Default"/>
              <w:rPr>
                <w:rFonts w:asciiTheme="minorHAnsi" w:hAnsiTheme="minorHAnsi" w:cstheme="minorHAnsi"/>
                <w:bCs/>
                <w:iCs/>
                <w:lang w:val="en-GB"/>
              </w:rPr>
            </w:pP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Nota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: In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cazul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in care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ofertantul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declarant castigator nu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deschide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un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cont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la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dispozitia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entitatii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contractante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, la o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institutie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de credit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bancara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agreata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de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ambele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parti, in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cazul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in care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partile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convin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ca GBE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sa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se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constituie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prin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retineri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successive din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sumele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datorate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pentru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facturi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partiale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,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entitatea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contractanta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va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retine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garantia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de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participare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in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baza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art. 43 din HG 394/2016,</w:t>
            </w:r>
            <w:r w:rsidRPr="00742BF1">
              <w:rPr>
                <w:rFonts w:asciiTheme="minorHAnsi" w:hAnsiTheme="minorHAnsi" w:cstheme="minorHAnsi"/>
                <w:bCs/>
              </w:rPr>
              <w:t xml:space="preserve"> cu </w:t>
            </w:r>
            <w:proofErr w:type="spellStart"/>
            <w:r w:rsidRPr="00742BF1">
              <w:rPr>
                <w:rFonts w:asciiTheme="minorHAnsi" w:hAnsiTheme="minorHAnsi" w:cstheme="minorHAnsi"/>
                <w:bCs/>
              </w:rPr>
              <w:t>modificările</w:t>
            </w:r>
            <w:proofErr w:type="spellEnd"/>
            <w:r w:rsidRPr="00742BF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</w:rPr>
              <w:t>și</w:t>
            </w:r>
            <w:proofErr w:type="spellEnd"/>
            <w:r w:rsidRPr="00742BF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</w:rPr>
              <w:t>completările</w:t>
            </w:r>
            <w:proofErr w:type="spellEnd"/>
            <w:r w:rsidRPr="00742BF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</w:rPr>
              <w:t>ulterioare</w:t>
            </w:r>
            <w:proofErr w:type="spellEnd"/>
            <w:r w:rsidRPr="00742BF1">
              <w:rPr>
                <w:rFonts w:asciiTheme="minorHAnsi" w:hAnsiTheme="minorHAnsi" w:cstheme="minorHAnsi"/>
                <w:bCs/>
              </w:rPr>
              <w:t>.</w:t>
            </w:r>
          </w:p>
          <w:p w14:paraId="19F2CC1F" w14:textId="77777777" w:rsidR="00C73C79" w:rsidRPr="00742BF1" w:rsidRDefault="00C73C79" w:rsidP="00E775BF">
            <w:pPr>
              <w:pStyle w:val="Default"/>
              <w:rPr>
                <w:rFonts w:asciiTheme="minorHAnsi" w:hAnsiTheme="minorHAnsi" w:cstheme="minorHAnsi"/>
                <w:bCs/>
                <w:iCs/>
                <w:lang w:val="en-GB"/>
              </w:rPr>
            </w:pP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Valabilitatea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GBE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va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fi cel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putin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egala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cu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durata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contractului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proofErr w:type="gram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art.II</w:t>
            </w:r>
            <w:proofErr w:type="spellEnd"/>
            <w:proofErr w:type="gram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pct. 9 din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Legea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208/2022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modifica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si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actualizeaza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Legea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99/2022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prin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introducerea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art. nou 164^2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alin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. (2).</w:t>
            </w:r>
          </w:p>
          <w:p w14:paraId="128D7A0F" w14:textId="77777777" w:rsidR="00C73C79" w:rsidRPr="00742BF1" w:rsidRDefault="00C73C79" w:rsidP="00E775BF">
            <w:pPr>
              <w:pStyle w:val="Default"/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In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cazul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prelungirii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termenului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de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derulare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a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contractului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,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valabilitatea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GBE se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prelungeste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in mod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corespunzator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cu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durata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aferenta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. </w:t>
            </w:r>
          </w:p>
          <w:p w14:paraId="58905F26" w14:textId="77777777" w:rsidR="00C73C79" w:rsidRPr="00742BF1" w:rsidRDefault="00C73C79" w:rsidP="00E775BF">
            <w:pPr>
              <w:pStyle w:val="Default"/>
              <w:rPr>
                <w:rFonts w:asciiTheme="minorHAnsi" w:hAnsiTheme="minorHAnsi" w:cstheme="minorHAnsi"/>
                <w:bCs/>
                <w:iCs/>
                <w:lang w:val="en-GB"/>
              </w:rPr>
            </w:pP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Entitatea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contractanta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are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dreptul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de </w:t>
            </w:r>
            <w:proofErr w:type="gram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a</w:t>
            </w:r>
            <w:proofErr w:type="gram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emite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pretentii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GBE, conform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prevederilor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art. 47 din HG 394/2016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actualizata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coroborat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cu art art.8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alin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. (5) din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>Legea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lang w:val="en-GB"/>
              </w:rPr>
              <w:t xml:space="preserve"> 208/2022.</w:t>
            </w:r>
          </w:p>
          <w:p w14:paraId="359F1C82" w14:textId="77777777" w:rsidR="00C73C79" w:rsidRPr="00742BF1" w:rsidRDefault="00C73C79" w:rsidP="00E775BF">
            <w:pPr>
              <w:pStyle w:val="Default"/>
              <w:rPr>
                <w:rFonts w:asciiTheme="minorHAnsi" w:hAnsiTheme="minorHAnsi" w:cstheme="minorHAnsi"/>
                <w:bCs/>
                <w:color w:val="auto"/>
                <w:lang w:val="fr-FR"/>
              </w:rPr>
            </w:pPr>
            <w:r w:rsidRPr="00742BF1">
              <w:rPr>
                <w:rFonts w:asciiTheme="minorHAnsi" w:hAnsiTheme="minorHAnsi" w:cstheme="minorHAnsi"/>
                <w:bCs/>
                <w:iCs/>
                <w:color w:val="auto"/>
                <w:lang w:val="ro-RO"/>
              </w:rPr>
              <w:t xml:space="preserve">GBE se va returna conform prevederilor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color w:val="auto"/>
                <w:lang w:val="ro-RO"/>
              </w:rPr>
              <w:t>art.II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color w:val="auto"/>
                <w:lang w:val="ro-RO"/>
              </w:rPr>
              <w:t xml:space="preserve"> pct. 9 din Legea 208/2022 ce modifica si </w:t>
            </w:r>
            <w:proofErr w:type="spellStart"/>
            <w:r w:rsidRPr="00742BF1">
              <w:rPr>
                <w:rFonts w:asciiTheme="minorHAnsi" w:hAnsiTheme="minorHAnsi" w:cstheme="minorHAnsi"/>
                <w:bCs/>
                <w:iCs/>
                <w:color w:val="auto"/>
                <w:lang w:val="ro-RO"/>
              </w:rPr>
              <w:t>actualizeaza</w:t>
            </w:r>
            <w:proofErr w:type="spellEnd"/>
            <w:r w:rsidRPr="00742BF1">
              <w:rPr>
                <w:rFonts w:asciiTheme="minorHAnsi" w:hAnsiTheme="minorHAnsi" w:cstheme="minorHAnsi"/>
                <w:bCs/>
                <w:iCs/>
                <w:color w:val="auto"/>
                <w:lang w:val="ro-RO"/>
              </w:rPr>
              <w:t xml:space="preserve"> Legea 99/2022 prin introducerea art. nou 164^2 alin. (2).</w:t>
            </w:r>
            <w:r w:rsidRPr="00742BF1">
              <w:rPr>
                <w:rFonts w:asciiTheme="minorHAnsi" w:hAnsiTheme="minorHAnsi" w:cstheme="minorHAnsi"/>
                <w:bCs/>
                <w:color w:val="auto"/>
              </w:rPr>
              <w:t xml:space="preserve">                                                                </w:t>
            </w:r>
          </w:p>
        </w:tc>
      </w:tr>
    </w:tbl>
    <w:p w14:paraId="34846333" w14:textId="77777777" w:rsidR="00C73C79" w:rsidRPr="00742BF1" w:rsidRDefault="00C73C79" w:rsidP="00C73C79">
      <w:pPr>
        <w:pStyle w:val="Style7"/>
        <w:widowControl/>
        <w:ind w:left="270"/>
        <w:jc w:val="left"/>
        <w:rPr>
          <w:rStyle w:val="FontStyle50"/>
          <w:rFonts w:asciiTheme="minorHAnsi" w:hAnsiTheme="minorHAnsi" w:cstheme="minorHAnsi"/>
          <w:lang w:val="fr-FR"/>
        </w:rPr>
      </w:pPr>
    </w:p>
    <w:p w14:paraId="564831CC" w14:textId="77777777" w:rsidR="00C65FEF" w:rsidRDefault="00C65FEF"/>
    <w:sectPr w:rsidR="00C6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EF"/>
    <w:rsid w:val="006E2397"/>
    <w:rsid w:val="00C65FEF"/>
    <w:rsid w:val="00C7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BCCE"/>
  <w15:chartTrackingRefBased/>
  <w15:docId w15:val="{8A4EC74B-9D96-44EC-97FE-F29DC884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9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FE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FE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FE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FE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FE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FE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FE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FE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FE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FE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FE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5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FE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5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FE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5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FE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FEF"/>
    <w:rPr>
      <w:b/>
      <w:bCs/>
      <w:smallCaps/>
      <w:color w:val="0F4761" w:themeColor="accent1" w:themeShade="BF"/>
      <w:spacing w:val="5"/>
    </w:rPr>
  </w:style>
  <w:style w:type="paragraph" w:customStyle="1" w:styleId="Style7">
    <w:name w:val="Style7"/>
    <w:basedOn w:val="Normal"/>
    <w:uiPriority w:val="99"/>
    <w:rsid w:val="00C73C79"/>
    <w:pPr>
      <w:jc w:val="right"/>
    </w:pPr>
  </w:style>
  <w:style w:type="paragraph" w:customStyle="1" w:styleId="Style22">
    <w:name w:val="Style22"/>
    <w:basedOn w:val="Normal"/>
    <w:uiPriority w:val="99"/>
    <w:rsid w:val="00C73C79"/>
    <w:pPr>
      <w:spacing w:line="264" w:lineRule="exact"/>
      <w:ind w:hanging="173"/>
    </w:pPr>
  </w:style>
  <w:style w:type="character" w:customStyle="1" w:styleId="FontStyle50">
    <w:name w:val="Font Style50"/>
    <w:basedOn w:val="DefaultParagraphFont"/>
    <w:uiPriority w:val="99"/>
    <w:rsid w:val="00C73C79"/>
    <w:rPr>
      <w:rFonts w:ascii="Segoe UI" w:hAnsi="Segoe UI" w:cs="Segoe UI"/>
      <w:sz w:val="14"/>
      <w:szCs w:val="14"/>
    </w:rPr>
  </w:style>
  <w:style w:type="table" w:styleId="TableGrid">
    <w:name w:val="Table Grid"/>
    <w:basedOn w:val="TableNormal"/>
    <w:uiPriority w:val="39"/>
    <w:rsid w:val="00C73C79"/>
    <w:pPr>
      <w:spacing w:after="0" w:line="240" w:lineRule="auto"/>
    </w:pPr>
    <w:rPr>
      <w:rFonts w:ascii="Segoe UI"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en-US"/>
      <w14:ligatures w14:val="none"/>
    </w:rPr>
  </w:style>
  <w:style w:type="paragraph" w:customStyle="1" w:styleId="maintext">
    <w:name w:val="maintext"/>
    <w:basedOn w:val="Normal"/>
    <w:rsid w:val="00C73C79"/>
    <w:pPr>
      <w:widowControl/>
      <w:autoSpaceDE/>
      <w:autoSpaceDN/>
      <w:adjustRightInd/>
      <w:spacing w:before="120" w:after="120"/>
      <w:jc w:val="both"/>
    </w:pPr>
    <w:rPr>
      <w:rFonts w:ascii="Arial" w:eastAsia="Times New Roman" w:hAnsi="Arial" w:cs="Arial"/>
      <w:sz w:val="22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Mati</dc:creator>
  <cp:keywords/>
  <dc:description/>
  <cp:lastModifiedBy>Ana-Maria Mati</cp:lastModifiedBy>
  <cp:revision>2</cp:revision>
  <dcterms:created xsi:type="dcterms:W3CDTF">2025-12-04T16:28:00Z</dcterms:created>
  <dcterms:modified xsi:type="dcterms:W3CDTF">2025-12-04T16:28:00Z</dcterms:modified>
</cp:coreProperties>
</file>