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ECB29" w14:textId="77777777" w:rsidR="008032E1" w:rsidRPr="00F8320A" w:rsidRDefault="008032E1" w:rsidP="008032E1">
      <w:pPr>
        <w:spacing w:line="276" w:lineRule="auto"/>
        <w:jc w:val="both"/>
        <w:rPr>
          <w:rFonts w:ascii="Times New Roman" w:hAnsi="Times New Roman"/>
          <w:b/>
          <w:bCs/>
          <w:u w:val="single"/>
          <w:lang w:eastAsia="ro-RO"/>
        </w:rPr>
      </w:pPr>
      <w:r w:rsidRPr="00F8320A">
        <w:rPr>
          <w:rFonts w:ascii="Times New Roman" w:hAnsi="Times New Roman"/>
          <w:b/>
          <w:bCs/>
          <w:u w:val="single"/>
          <w:lang w:eastAsia="ro-RO"/>
        </w:rPr>
        <w:t>RESPONSABILITATI PRIVIND RESPECTAREA PRINCIPIULUI DNSH</w:t>
      </w:r>
    </w:p>
    <w:p w14:paraId="78B4A827" w14:textId="77777777" w:rsidR="008032E1" w:rsidRPr="00F8320A" w:rsidRDefault="008032E1" w:rsidP="008032E1">
      <w:pPr>
        <w:spacing w:line="276" w:lineRule="auto"/>
        <w:jc w:val="both"/>
        <w:rPr>
          <w:rFonts w:ascii="Times New Roman" w:hAnsi="Times New Roman"/>
          <w:b/>
          <w:bCs/>
          <w:lang w:eastAsia="ro-RO"/>
        </w:rPr>
      </w:pPr>
    </w:p>
    <w:p w14:paraId="45A3CC37" w14:textId="77777777" w:rsidR="008032E1" w:rsidRPr="00F8320A" w:rsidRDefault="008032E1" w:rsidP="008032E1">
      <w:pPr>
        <w:spacing w:line="276" w:lineRule="auto"/>
        <w:jc w:val="both"/>
        <w:rPr>
          <w:rFonts w:ascii="Times New Roman" w:hAnsi="Times New Roman"/>
          <w:b/>
          <w:u w:val="single"/>
          <w:lang w:eastAsia="ro-RO"/>
        </w:rPr>
      </w:pPr>
      <w:r w:rsidRPr="00F8320A">
        <w:rPr>
          <w:rFonts w:ascii="Times New Roman" w:hAnsi="Times New Roman"/>
          <w:b/>
          <w:lang w:eastAsia="ro-RO"/>
        </w:rPr>
        <w:t xml:space="preserve">Contractantul, in executia lucrarilor, va respecta principiile „Do No Significant Harm” (DNSH), astfel cum este prevazut la articolul 17 din Regulamentul UE nr. 2020/852 privind instituirea unui cadru care sa faciliteze investitiile durabile, va lua masurile necesare respectarii acestor principii, asa cum au fost stabilite la faza PT, </w:t>
      </w:r>
      <w:r w:rsidRPr="00F8320A">
        <w:rPr>
          <w:rFonts w:ascii="Times New Roman" w:hAnsi="Times New Roman"/>
          <w:b/>
          <w:u w:val="single"/>
          <w:lang w:eastAsia="ro-RO"/>
        </w:rPr>
        <w:t>si va demonstra autoritatii contractante ca le-a respectat, prin prezentatea de documente concludente.</w:t>
      </w:r>
    </w:p>
    <w:p w14:paraId="37DE311F" w14:textId="77777777" w:rsidR="008032E1" w:rsidRPr="00F8320A" w:rsidRDefault="008032E1" w:rsidP="008032E1">
      <w:pPr>
        <w:spacing w:line="276" w:lineRule="auto"/>
        <w:jc w:val="both"/>
        <w:rPr>
          <w:rFonts w:ascii="Times New Roman" w:hAnsi="Times New Roman"/>
          <w:b/>
          <w:u w:val="single"/>
          <w:lang w:eastAsia="ro-RO"/>
        </w:rPr>
      </w:pPr>
    </w:p>
    <w:p w14:paraId="620F559D" w14:textId="77777777" w:rsidR="008032E1" w:rsidRPr="00F8320A" w:rsidRDefault="008032E1" w:rsidP="008032E1">
      <w:pPr>
        <w:spacing w:line="276" w:lineRule="auto"/>
        <w:ind w:firstLine="709"/>
        <w:jc w:val="both"/>
        <w:rPr>
          <w:rFonts w:ascii="Times New Roman" w:hAnsi="Times New Roman"/>
          <w:lang w:val="en-GB" w:eastAsia="ro-RO"/>
        </w:rPr>
      </w:pPr>
      <w:r w:rsidRPr="00F8320A">
        <w:rPr>
          <w:rFonts w:ascii="Times New Roman" w:hAnsi="Times New Roman"/>
          <w:lang w:val="en-GB" w:eastAsia="ro-RO"/>
        </w:rPr>
        <w:t>Activitățile/lucrările realizate în cadrul proiectului sunt considerate conforme cu principiul de „a nu prejudicia în mod semnificativ” (DNSH – „Do No Significant Harm”), prevăzute în Comunicarea Comisiei - Orientări tehnice privind aplicarea principiului de „a nu aduce prejudicii semnificative” în temeiul Regulamentului privind Mecanismul de redresare și reziliență (2021/C58/01).</w:t>
      </w:r>
    </w:p>
    <w:p w14:paraId="015462B2" w14:textId="77777777" w:rsidR="008032E1" w:rsidRDefault="008032E1" w:rsidP="008032E1">
      <w:pPr>
        <w:spacing w:line="276" w:lineRule="auto"/>
        <w:jc w:val="both"/>
        <w:rPr>
          <w:rFonts w:ascii="Times New Roman" w:hAnsi="Times New Roman"/>
          <w:lang w:val="en-GB" w:eastAsia="ro-RO"/>
        </w:rPr>
      </w:pPr>
    </w:p>
    <w:p w14:paraId="1D5B0768"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De asemenea, 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 menționăm că, activitățile/lucrările realizate în cadrul proiectului sunt considerate conforme cu principiul de „a nu prejudicia în mod semnificativ” (DNSH – „Do No Significant Harm”). </w:t>
      </w:r>
    </w:p>
    <w:p w14:paraId="4837D1DC"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Pentru cele șase obiective de mediu vizate de Regulamentul privind taxonomia se definește astfel: </w:t>
      </w:r>
    </w:p>
    <w:p w14:paraId="207AC94A"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1. Se consideră că o activitate prejudiciază în mod semnificativ atenuarea schimbărilor climatice în cazul în care activitatea respectivă generează emisii semnificative de gaze cu efect de seră (GES); </w:t>
      </w:r>
    </w:p>
    <w:p w14:paraId="2188EE4E"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1D2AF8AF"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w:t>
      </w:r>
      <w:proofErr w:type="gramStart"/>
      <w:r w:rsidRPr="00F8320A">
        <w:rPr>
          <w:rFonts w:ascii="Times New Roman" w:hAnsi="Times New Roman"/>
          <w:lang w:val="en-GB" w:eastAsia="ro-RO"/>
        </w:rPr>
        <w:t>a</w:t>
      </w:r>
      <w:proofErr w:type="gramEnd"/>
      <w:r w:rsidRPr="00F8320A">
        <w:rPr>
          <w:rFonts w:ascii="Times New Roman" w:hAnsi="Times New Roman"/>
          <w:lang w:val="en-GB" w:eastAsia="ro-RO"/>
        </w:rPr>
        <w:t xml:space="preserve"> apelor marine; </w:t>
      </w:r>
    </w:p>
    <w:p w14:paraId="14931CF4"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6ACA8C23"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5. Se consideră că o activitate prejudiciază în mod semnificativ prevenirea și controlul poluării în cazul în care activitatea respectivă duce la o creștere semnificativă </w:t>
      </w:r>
      <w:proofErr w:type="gramStart"/>
      <w:r w:rsidRPr="00F8320A">
        <w:rPr>
          <w:rFonts w:ascii="Times New Roman" w:hAnsi="Times New Roman"/>
          <w:lang w:val="en-GB" w:eastAsia="ro-RO"/>
        </w:rPr>
        <w:t>a</w:t>
      </w:r>
      <w:proofErr w:type="gramEnd"/>
      <w:r w:rsidRPr="00F8320A">
        <w:rPr>
          <w:rFonts w:ascii="Times New Roman" w:hAnsi="Times New Roman"/>
          <w:lang w:val="en-GB" w:eastAsia="ro-RO"/>
        </w:rPr>
        <w:t xml:space="preserve"> emisiilor de poluanți în aer, apă sau sol; </w:t>
      </w:r>
    </w:p>
    <w:p w14:paraId="776F1033"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6. Se consideră că o activitate economică prejudiciază în mod semnificativ protecția și refacerea biodiversității și </w:t>
      </w:r>
      <w:proofErr w:type="gramStart"/>
      <w:r w:rsidRPr="00F8320A">
        <w:rPr>
          <w:rFonts w:ascii="Times New Roman" w:hAnsi="Times New Roman"/>
          <w:lang w:val="en-GB" w:eastAsia="ro-RO"/>
        </w:rPr>
        <w:t>a</w:t>
      </w:r>
      <w:proofErr w:type="gramEnd"/>
      <w:r w:rsidRPr="00F8320A">
        <w:rPr>
          <w:rFonts w:ascii="Times New Roman" w:hAnsi="Times New Roman"/>
          <w:lang w:val="en-GB" w:eastAsia="ro-RO"/>
        </w:rPr>
        <w:t xml:space="preserve"> ecosistemelor în cazul în care activitatea respectivă este nocivă în </w:t>
      </w:r>
      <w:r w:rsidRPr="00F8320A">
        <w:rPr>
          <w:rFonts w:ascii="Times New Roman" w:hAnsi="Times New Roman"/>
          <w:lang w:val="en-GB" w:eastAsia="ro-RO"/>
        </w:rPr>
        <w:lastRenderedPageBreak/>
        <w:t xml:space="preserve">mod semnificativ pentru condiția bună și reziliența ecosistemelor sau nocivă pentru stadiul de conservare a habitatelor și a speciilor, inclusiv a celor de interes pentru Uniune </w:t>
      </w:r>
    </w:p>
    <w:p w14:paraId="7ACD6D89" w14:textId="77777777" w:rsidR="008032E1" w:rsidRPr="00F8320A" w:rsidRDefault="008032E1" w:rsidP="008032E1">
      <w:pPr>
        <w:spacing w:line="276" w:lineRule="auto"/>
        <w:jc w:val="both"/>
        <w:rPr>
          <w:rFonts w:ascii="Times New Roman" w:hAnsi="Times New Roman"/>
          <w:lang w:val="en-GB" w:eastAsia="ro-RO"/>
        </w:rPr>
      </w:pPr>
    </w:p>
    <w:p w14:paraId="35F00819"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De asemenea, activitățile/lucrările realizate în cadrul proiectului sunt considerate conforme cu principiul de „a nu prejudicia în mod semnificativ” (DNSH – „Do No Significant Harm”), prevăzute în Comunicarea Comisiei - Orientări tehnice privind aplicarea principiului de „a nu aduce prejudicii semnificative” în temeiul Regulamentului privind Mecanismul de redresare și reziliență (2021/C58/01). </w:t>
      </w:r>
    </w:p>
    <w:p w14:paraId="54736D24"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Referitor la Obiectivul de mediu 1. Atenuarea schimbărilor climatice: </w:t>
      </w:r>
    </w:p>
    <w:p w14:paraId="6B2ED18C"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Proiectul nu conduce la emisii semnificative de gaze cu efect de seră (GES) </w:t>
      </w:r>
    </w:p>
    <w:p w14:paraId="7E29CF08"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Renovarea energetică a clădirilor existente are o influență global pozitivă asupra obiectivelor de mediu, fiind în conformitate totală cu DNSH pentru obiectivul de atenuare a schimbărilor climatice, conducând la reducerea semnificativă </w:t>
      </w:r>
      <w:proofErr w:type="gramStart"/>
      <w:r w:rsidRPr="00F8320A">
        <w:rPr>
          <w:rFonts w:ascii="Times New Roman" w:hAnsi="Times New Roman"/>
          <w:lang w:val="en-GB" w:eastAsia="ro-RO"/>
        </w:rPr>
        <w:t>a</w:t>
      </w:r>
      <w:proofErr w:type="gramEnd"/>
      <w:r w:rsidRPr="00F8320A">
        <w:rPr>
          <w:rFonts w:ascii="Times New Roman" w:hAnsi="Times New Roman"/>
          <w:lang w:val="en-GB" w:eastAsia="ro-RO"/>
        </w:rPr>
        <w:t xml:space="preserve"> emisiilor de gaze cu efect de seră (GES) și la creșterea eficienței energetice, cu respectarea criteriilor de eficiență energetică, din anexa la Regulamentul privind Mecanismul de Redresare și Reziliență, cu un coeficient al schimbărilor climatice de 100 %. </w:t>
      </w:r>
    </w:p>
    <w:p w14:paraId="24F86AC2"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Investițiile realizate au scopul de a reduce consumul de energie, de a crește eficiența energetică, conducând la o îmbunătățire substanțială a performanței energetice a clădirilor în cauză, respectiv creșterea eficienței energetice a sistemelor tehnice, astfel: </w:t>
      </w:r>
    </w:p>
    <w:p w14:paraId="692449E6"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reducerea consumului anual specific de energie finală pentru încălzire de cel puțin 50% față de consumul anual specific de energie pentru încălzire înainte de renovarea fiecărei clădiri (cu excepția clădirilor cu valoare arhitecturală deosebită stabilite prin documentațiile de urbanism, clădirilor din zone construite protejate aprobate conform legii). </w:t>
      </w:r>
    </w:p>
    <w:p w14:paraId="3033E9F4" w14:textId="77777777" w:rsidR="008032E1" w:rsidRPr="00F8320A" w:rsidRDefault="008032E1" w:rsidP="008032E1">
      <w:pPr>
        <w:spacing w:line="276" w:lineRule="auto"/>
        <w:jc w:val="both"/>
        <w:rPr>
          <w:rFonts w:ascii="Times New Roman" w:hAnsi="Times New Roman"/>
          <w:lang w:val="en-GB" w:eastAsia="ro-RO"/>
        </w:rPr>
      </w:pPr>
    </w:p>
    <w:p w14:paraId="52A2F09C"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reducerea consumului de energie primară și </w:t>
      </w:r>
      <w:proofErr w:type="gramStart"/>
      <w:r w:rsidRPr="00F8320A">
        <w:rPr>
          <w:rFonts w:ascii="Times New Roman" w:hAnsi="Times New Roman"/>
          <w:lang w:val="en-GB" w:eastAsia="ro-RO"/>
        </w:rPr>
        <w:t>a</w:t>
      </w:r>
      <w:proofErr w:type="gramEnd"/>
      <w:r w:rsidRPr="00F8320A">
        <w:rPr>
          <w:rFonts w:ascii="Times New Roman" w:hAnsi="Times New Roman"/>
          <w:lang w:val="en-GB" w:eastAsia="ro-RO"/>
        </w:rPr>
        <w:t xml:space="preserve"> emisiilor de CO2, situată în intervalul 30% - 60% pentru proiectele de renovare energetică moderată, respectiv peste 60% pentru proiectele de renovare energetică aprofundată, în comparație cu starea de pre-renovare. </w:t>
      </w:r>
    </w:p>
    <w:p w14:paraId="4FF568A3"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Referitor la Obiectivul de mediu 2. Adaptarea la schimbările climatice: </w:t>
      </w:r>
    </w:p>
    <w:p w14:paraId="14BC187F"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Proiectul nu conduce la creșterea efectului negativ al climatului actual și viitor asupra măsurii în sine, persoanelor, naturii sau asupra clădirilor. </w:t>
      </w:r>
    </w:p>
    <w:p w14:paraId="0F048D77"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Pentru adaptarea clădirilor la schimbările climatice generate de valuri de căldură, prin proiect se asigură obligația optimizării sistemelor tehnice din clădirile renovate pentru </w:t>
      </w:r>
      <w:proofErr w:type="gramStart"/>
      <w:r w:rsidRPr="00F8320A">
        <w:rPr>
          <w:rFonts w:ascii="Times New Roman" w:hAnsi="Times New Roman"/>
          <w:lang w:val="en-GB" w:eastAsia="ro-RO"/>
        </w:rPr>
        <w:t>a</w:t>
      </w:r>
      <w:proofErr w:type="gramEnd"/>
      <w:r w:rsidRPr="00F8320A">
        <w:rPr>
          <w:rFonts w:ascii="Times New Roman" w:hAnsi="Times New Roman"/>
          <w:lang w:val="en-GB" w:eastAsia="ro-RO"/>
        </w:rPr>
        <w:t xml:space="preserve"> oferi confort termic ocupanților chiar și în temperaturile extreme respective. </w:t>
      </w:r>
    </w:p>
    <w:p w14:paraId="3CB3D317"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Prin proiect sunt prevăzute condițiile de mediu adecvate precum și condițiile privind funcționarea stațiilor de încărcare pentru vehicule electrice (care are loc în exterior), prin asigurarea rezistenței echipamentelor și funcționării acestora la manifestările schimbărilor climatice și la alte dezastre naturale. </w:t>
      </w:r>
    </w:p>
    <w:p w14:paraId="59B5F06C"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Referitor la obiectivul de mediu 3. - Utilizarea durabilă și protejarea resurselor de apă și a celor marine: </w:t>
      </w:r>
    </w:p>
    <w:p w14:paraId="33D53B9F"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Se consideră că activitățile/lucrările de renovare energetică au un impact previzibil nesemnificativ asupra acestor obiective de mediu, ținând seama atât de efectele directe, cât și de cele primare indirecte pe întreaga durată a ciclului de viață. </w:t>
      </w:r>
    </w:p>
    <w:p w14:paraId="165D1B2E"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Referitor la Obiectivul de mediu 4. Tranziția către o economie circulară, inclusiv prevenirea generării de deșeuri și reciclarea acestora: </w:t>
      </w:r>
    </w:p>
    <w:p w14:paraId="0CE87414"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lastRenderedPageBreak/>
        <w:t xml:space="preserve">Proiectul nu va cauza prejudicii semnificative și pe termen lung mediului în ceea ce privește economia circulară. </w:t>
      </w:r>
    </w:p>
    <w:p w14:paraId="4CB9D7DD"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Prin proiect se va asigura că cel puțin 70% (în greutate) din deșeurile nepericuloase provenite din activități de construcție și demolări (cu excepția materialelor naturale menționate în categoria 17 05 04 din lista europeană a deșeurilor stabilită prin Decizia 2000/532/CE) și generate pe șantier vor fi pregătite pentru reutilizare, reciclare și alte operațiuni de valorificare materială, inclusiv operațiuni de umplere care utilizează deșeuri pentru a înlocui alte materiale, în conformitate cu ierarhia deșeurilor și cu Protocolul UE de gestionare a deșeurilor din construcții și demolări. </w:t>
      </w:r>
    </w:p>
    <w:p w14:paraId="109B26C2"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Prin proiect se va asigura limitarea generării de deșeuri în activitățile de construcție și demolări, în conformitate cu Protocolul UE de gestionare a deșeurilor din construcții și demolări și luând în considerare cele mai bune tehnici disponibile și folosind demolarea selectivă pentru a permite îndepărtarea și manipularea în siguranță a substanțelor periculoase și pentru a facilita reutilizarea și reciclare de înaltă calitate prin îndepărtarea selectivă a materialelor, folosind sistemele de sortare disponibile pentru deșeurile din construcții și demolări. </w:t>
      </w:r>
    </w:p>
    <w:p w14:paraId="2B2AA26A"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Pentru echipamentele destinate producției de energie din surse regenerabile care pot fi instalate, se stabilesc specificații tehnice în ceea ce privește durabilitatea și potențialul lor de reparare și de reciclare. În special, operatorii vor limita generarea de deșeuri în procesele aferente construcțiilor și demolărilor, în conformitate cu Protocolul UE de gestionare a deșeurilor din construcții și demolări. </w:t>
      </w:r>
    </w:p>
    <w:p w14:paraId="1DA5905B"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Prin proiect se prevede ca tehnicile de construcție sprijină circularitatea, astfel încât să fie mai eficiente din punctul de vedere al utilizării resurselor, adaptabile, flexibile și demontabile. </w:t>
      </w:r>
    </w:p>
    <w:p w14:paraId="739FB059" w14:textId="77777777" w:rsidR="008032E1" w:rsidRPr="00F8320A" w:rsidRDefault="008032E1" w:rsidP="008032E1">
      <w:pPr>
        <w:spacing w:line="276" w:lineRule="auto"/>
        <w:jc w:val="both"/>
        <w:rPr>
          <w:rFonts w:ascii="Times New Roman" w:hAnsi="Times New Roman"/>
          <w:lang w:val="en-GB" w:eastAsia="ro-RO"/>
        </w:rPr>
      </w:pPr>
    </w:p>
    <w:p w14:paraId="503D3680"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Referitor la Obiectivul de mediu 5. Prevenirea și controlul poluării: </w:t>
      </w:r>
    </w:p>
    <w:p w14:paraId="5760A331"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Proiectul nu va conduce la o creștere semnificativă </w:t>
      </w:r>
      <w:proofErr w:type="gramStart"/>
      <w:r w:rsidRPr="00F8320A">
        <w:rPr>
          <w:rFonts w:ascii="Times New Roman" w:hAnsi="Times New Roman"/>
          <w:lang w:val="en-GB" w:eastAsia="ro-RO"/>
        </w:rPr>
        <w:t>a</w:t>
      </w:r>
      <w:proofErr w:type="gramEnd"/>
      <w:r w:rsidRPr="00F8320A">
        <w:rPr>
          <w:rFonts w:ascii="Times New Roman" w:hAnsi="Times New Roman"/>
          <w:lang w:val="en-GB" w:eastAsia="ro-RO"/>
        </w:rPr>
        <w:t xml:space="preserve"> emisiilor de poluanți în aer, apă sau sol. </w:t>
      </w:r>
    </w:p>
    <w:p w14:paraId="31616EB6"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Nivelul de creștere a performanței energetice a clădirii impus prin proiect va conduce la reduceri semnificative ale emisiilor în aer și la o îmbunătățire a sănătății publice. </w:t>
      </w:r>
    </w:p>
    <w:p w14:paraId="01E102C7"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Prin proiect se vor asigura măsuri privind calitatea aerului din interior, prin evitarea utilizării de materiale de construcţie ce conțin substanțe poluante, precum formaldehida din placaj și substanţele ignifuge din numeroase materiale sau radonul care provine, atât din soluri, cât și din materialele de construcţie. </w:t>
      </w:r>
    </w:p>
    <w:p w14:paraId="30344AC9"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Prin proiect se va asigura că materialele de construcție și componentele utilizate nu conțin azbest și nici substanțe identificate pe baza listei substanțelor supuse autorizării prevăzute în anexa XIV la Regulamentul (CE) nr. 1907/2006. </w:t>
      </w:r>
    </w:p>
    <w:p w14:paraId="6125C73A"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Prin proiect se va asigura că materialele de construcție și componentele utilizate, care pot intra în contact cu ocupanții, emit mai puțin de 0,06 mg de formaldehidă pe m3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 </w:t>
      </w:r>
    </w:p>
    <w:p w14:paraId="0158F47C"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Prin proiect se recomandă utilizarea materialelor de construcții care conduc la reducerea zgomotului, a prafului și </w:t>
      </w:r>
      <w:proofErr w:type="gramStart"/>
      <w:r w:rsidRPr="00F8320A">
        <w:rPr>
          <w:rFonts w:ascii="Times New Roman" w:hAnsi="Times New Roman"/>
          <w:lang w:val="en-GB" w:eastAsia="ro-RO"/>
        </w:rPr>
        <w:t>a</w:t>
      </w:r>
      <w:proofErr w:type="gramEnd"/>
      <w:r w:rsidRPr="00F8320A">
        <w:rPr>
          <w:rFonts w:ascii="Times New Roman" w:hAnsi="Times New Roman"/>
          <w:lang w:val="en-GB" w:eastAsia="ro-RO"/>
        </w:rPr>
        <w:t xml:space="preserve"> emisiilor poluante în timpul lucrărilor de renovare. </w:t>
      </w:r>
    </w:p>
    <w:p w14:paraId="4CA7E88D"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Prin proiect se recomandă utilizarea materialelor cu conținut scăzut de carbon, prin folosirea </w:t>
      </w:r>
      <w:r w:rsidRPr="00F8320A">
        <w:rPr>
          <w:rFonts w:ascii="Times New Roman" w:hAnsi="Times New Roman"/>
          <w:lang w:val="en-GB" w:eastAsia="ro-RO"/>
        </w:rPr>
        <w:lastRenderedPageBreak/>
        <w:t xml:space="preserve">materialelor disponibile cât mai aproape de locul construcției și a celor al căror proces de producție este cât se poate de prietenos cu mediul. Trebuie avută în vedere utilizarea produselor de construcții non-toxice, reciclabile și biodegradabile, fabricate la nivelul industriei locale, din materii prime produse în zonă, folosind tehnici care nu afectează mediul. </w:t>
      </w:r>
    </w:p>
    <w:p w14:paraId="60914935"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Referitor la obiectivul de mediu 6. - Protecția și refacerea biodiversității și </w:t>
      </w:r>
      <w:proofErr w:type="gramStart"/>
      <w:r w:rsidRPr="00F8320A">
        <w:rPr>
          <w:rFonts w:ascii="Times New Roman" w:hAnsi="Times New Roman"/>
          <w:lang w:val="en-GB" w:eastAsia="ro-RO"/>
        </w:rPr>
        <w:t>a</w:t>
      </w:r>
      <w:proofErr w:type="gramEnd"/>
      <w:r w:rsidRPr="00F8320A">
        <w:rPr>
          <w:rFonts w:ascii="Times New Roman" w:hAnsi="Times New Roman"/>
          <w:lang w:val="en-GB" w:eastAsia="ro-RO"/>
        </w:rPr>
        <w:t xml:space="preserve"> ecosistemelor: </w:t>
      </w:r>
    </w:p>
    <w:p w14:paraId="40B24F58"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Se consideră că prin proiect se va asigura că instalarea stații de încarcare pentru vehiculele electric trebuie să fie în afara sau în apropierea zonelor sensibile din punctul de vedere al biodiversității (rețeaua de arii protejate Natura 2000, siturile naturale înscrise pe Lista patrimoniului mondial UNESCO și principalele zone de biodiversitate, precum și alte zone protejate etc). Se verifică corelarea cu pct. 21 din Lista de verificare privind aplicarea DNSH. </w:t>
      </w:r>
    </w:p>
    <w:p w14:paraId="139ABBB0"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Referitor la lucrările de creștere </w:t>
      </w:r>
      <w:proofErr w:type="gramStart"/>
      <w:r w:rsidRPr="00F8320A">
        <w:rPr>
          <w:rFonts w:ascii="Times New Roman" w:hAnsi="Times New Roman"/>
          <w:lang w:val="en-GB" w:eastAsia="ro-RO"/>
        </w:rPr>
        <w:t>a</w:t>
      </w:r>
      <w:proofErr w:type="gramEnd"/>
      <w:r w:rsidRPr="00F8320A">
        <w:rPr>
          <w:rFonts w:ascii="Times New Roman" w:hAnsi="Times New Roman"/>
          <w:lang w:val="en-GB" w:eastAsia="ro-RO"/>
        </w:rPr>
        <w:t xml:space="preserve"> eficienței energetice, pentru a realiza o evaluare de fond conform principiului DNSH în ceea ce privește obiectivele de mediu 1, 2, 4 și 5, sunt prezentate măsurile care trebuie să respecte principiul DNSH pentru </w:t>
      </w:r>
      <w:proofErr w:type="gramStart"/>
      <w:r w:rsidRPr="00F8320A">
        <w:rPr>
          <w:rFonts w:ascii="Times New Roman" w:hAnsi="Times New Roman"/>
          <w:lang w:val="en-GB" w:eastAsia="ro-RO"/>
        </w:rPr>
        <w:t>a</w:t>
      </w:r>
      <w:proofErr w:type="gramEnd"/>
      <w:r w:rsidRPr="00F8320A">
        <w:rPr>
          <w:rFonts w:ascii="Times New Roman" w:hAnsi="Times New Roman"/>
          <w:lang w:val="en-GB" w:eastAsia="ro-RO"/>
        </w:rPr>
        <w:t xml:space="preserve"> indica faptul că obiectivul de mediu specific nu face obiectul prejudicierii în mod semnificativ. </w:t>
      </w:r>
    </w:p>
    <w:p w14:paraId="321F04D0"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Respectarea principiilor privind dezvoltarea durabila, egalitatea de sanse, de gen şi nediscriminarea: </w:t>
      </w:r>
    </w:p>
    <w:p w14:paraId="6B086A0A"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xml:space="preserve">• Se propune implementarea unei soluţii prietenoase cu mediul înconjurător, respectiv activitățile/lucrările realizate în cadrul proiectului sunt considerate conforme cu principiul de „a nu prejudicia în mod semnificativ” (DNSH – „Do No Significant Harm”), prevăzute în Comunicarea Comisiei - Orientări tehnice privind aplicarea principiului de „a nu aduce prejudicii semnificative” în temeiul Regulamentului privind Mecanismul de redresare și reziliență (2021/C58/01). </w:t>
      </w:r>
    </w:p>
    <w:p w14:paraId="3CD8F09A" w14:textId="77777777" w:rsidR="008032E1" w:rsidRPr="00F8320A" w:rsidRDefault="008032E1" w:rsidP="008032E1">
      <w:pPr>
        <w:spacing w:line="276" w:lineRule="auto"/>
        <w:jc w:val="both"/>
        <w:rPr>
          <w:rFonts w:ascii="Times New Roman" w:hAnsi="Times New Roman"/>
          <w:lang w:val="en-GB" w:eastAsia="ro-RO"/>
        </w:rPr>
      </w:pPr>
    </w:p>
    <w:p w14:paraId="69931E3B"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Toate materialele ce se vor utiliza trebuie să respecte obligaţiile pentru implementarea principiului „Do No Significant Harm” (DNSH) (“A nu prejudicia în mod semnificativ”), astfel cum este prevăzut la Articolul 17 din Regulamentul (UE) 2020/852 privind instituirea unui cadru care să faciliteze investițiile durabile, pe toată perioada de implementare a proiectului.</w:t>
      </w:r>
    </w:p>
    <w:p w14:paraId="4BFBB8EA" w14:textId="77777777" w:rsidR="008032E1" w:rsidRPr="00F8320A" w:rsidRDefault="008032E1" w:rsidP="008032E1">
      <w:pPr>
        <w:spacing w:line="276" w:lineRule="auto"/>
        <w:jc w:val="both"/>
        <w:rPr>
          <w:rFonts w:ascii="Times New Roman" w:hAnsi="Times New Roman"/>
          <w:lang w:val="en-GB" w:eastAsia="ro-RO"/>
        </w:rPr>
      </w:pPr>
    </w:p>
    <w:p w14:paraId="12F1D00A"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Totodată, Autoritatea contractanta va condiționa plățile efectuate către beneficiari de prezentarea următoarelor documente în faza de execuție:</w:t>
      </w:r>
    </w:p>
    <w:p w14:paraId="61C6B9BE"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Situație de lucrări cu defalcarea următoare (unde este cazul):</w:t>
      </w:r>
    </w:p>
    <w:p w14:paraId="1FD08B03"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Cantitate de materiale desființate [...] [Selectează din listă]</w:t>
      </w:r>
    </w:p>
    <w:p w14:paraId="1E71B587"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Cantitate de materiale reutilizate [...] [Selectează din listă]</w:t>
      </w:r>
    </w:p>
    <w:p w14:paraId="0B4DC1CE"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Cantitate de materiale reciclate [...] [Selectează din listă]</w:t>
      </w:r>
    </w:p>
    <w:p w14:paraId="4110B36F"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Cantitate de deșeuri [...] [Selectează din listă]</w:t>
      </w:r>
    </w:p>
    <w:p w14:paraId="38C07A9F"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Certificare de către firma de gestiune deșeuri cu cantitatea de deșeuri preluate, din care se specifică cantitatea de deșeuri incinerate</w:t>
      </w:r>
    </w:p>
    <w:p w14:paraId="4B2D02AC"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Declarații de performanță pentru produsele pentru construcţii, întocmite de producători, sau declarații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nearmonizate)</w:t>
      </w:r>
    </w:p>
    <w:p w14:paraId="18CC6351"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Fișă cu date de securitate ale produselor (conform Regulament UE 2015/830)</w:t>
      </w:r>
    </w:p>
    <w:p w14:paraId="740AE44D"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Fișe tehnice ale utilajelor utilizate – măsuri de reducerea poluării</w:t>
      </w:r>
    </w:p>
    <w:p w14:paraId="60E561EB" w14:textId="77777777" w:rsidR="008032E1" w:rsidRPr="00F8320A" w:rsidRDefault="008032E1" w:rsidP="008032E1">
      <w:pPr>
        <w:spacing w:line="276" w:lineRule="auto"/>
        <w:jc w:val="both"/>
        <w:rPr>
          <w:rFonts w:ascii="Times New Roman" w:hAnsi="Times New Roman"/>
          <w:lang w:val="en-GB" w:eastAsia="ro-RO"/>
        </w:rPr>
      </w:pPr>
    </w:p>
    <w:p w14:paraId="5AEA6FA0"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Intervențiile demonstrează că nu vor cauza prejudicii semnificative și pe termen lung mediului în ceea ce privește economia circulară:</w:t>
      </w:r>
    </w:p>
    <w:p w14:paraId="6EC9459B" w14:textId="77777777" w:rsidR="008032E1" w:rsidRPr="00F8320A" w:rsidRDefault="008032E1" w:rsidP="008032E1">
      <w:pPr>
        <w:spacing w:line="276" w:lineRule="auto"/>
        <w:jc w:val="both"/>
        <w:rPr>
          <w:rFonts w:ascii="Times New Roman" w:hAnsi="Times New Roman"/>
          <w:lang w:val="en-GB" w:eastAsia="ro-RO"/>
        </w:rPr>
      </w:pPr>
    </w:p>
    <w:p w14:paraId="3A804E82"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Elemente de verificare înainte de începerea execuției lucrărilor</w:t>
      </w:r>
    </w:p>
    <w:p w14:paraId="6750AD29"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asumarea solicitantului privind realizarea acestor măsuri</w:t>
      </w:r>
    </w:p>
    <w:p w14:paraId="1D0FF93B"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prevederi în caietele de sarcini și proiectului tehnic, descrierea gestionării deșeurilor, inclusiv a categoriilor care necesită incinerare - deșeuri din construcție, deșeuri rezultate din ambalaje materiale, etc),</w:t>
      </w:r>
    </w:p>
    <w:p w14:paraId="08D8FF2A"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descrierea materialelor de construcție propuse a fi utilizate, acestea obligatoriu fiind din categoria materialelor prietenoase cu mediul, echipamente pentru energie regenerabilă, descrierea modalității de reutilizare a materialelor desființate.</w:t>
      </w:r>
    </w:p>
    <w:p w14:paraId="07C1A09D" w14:textId="77777777" w:rsidR="008032E1" w:rsidRPr="00F8320A" w:rsidRDefault="008032E1" w:rsidP="008032E1">
      <w:pPr>
        <w:spacing w:line="276" w:lineRule="auto"/>
        <w:jc w:val="both"/>
        <w:rPr>
          <w:rFonts w:ascii="Times New Roman" w:hAnsi="Times New Roman"/>
          <w:lang w:val="en-GB" w:eastAsia="ro-RO"/>
        </w:rPr>
      </w:pPr>
    </w:p>
    <w:p w14:paraId="2A3B5CE9" w14:textId="77777777" w:rsidR="008032E1" w:rsidRDefault="008032E1" w:rsidP="008032E1">
      <w:pPr>
        <w:spacing w:line="276" w:lineRule="auto"/>
        <w:jc w:val="both"/>
        <w:rPr>
          <w:rFonts w:ascii="Times New Roman" w:hAnsi="Times New Roman"/>
          <w:lang w:val="en-GB" w:eastAsia="ro-RO"/>
        </w:rPr>
      </w:pPr>
    </w:p>
    <w:p w14:paraId="42682120"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Elemente de verificare pe perioada execuției lucrărilor</w:t>
      </w:r>
    </w:p>
    <w:p w14:paraId="2FCB913B"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document din care să reiasă tipurile de deșeuri generate din activitățile/lucrările executate și cantitatea acestora;</w:t>
      </w:r>
    </w:p>
    <w:p w14:paraId="2F8F5EA6"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listele cu cantităţile de lucrări, pe categorii de lucrări, listele cu cantităţile de utilaje şi echipamente tehnologice</w:t>
      </w:r>
    </w:p>
    <w:p w14:paraId="2A2ED475"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contract încheiat cu operator economic care colectează și/sau transportă deșeuri sau care desfăşoară operaţiuni de valorificare a deşeurilor.</w:t>
      </w:r>
    </w:p>
    <w:p w14:paraId="61995149"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 declarații de performanță pentru produsele pentru construcţii, întocmite de producători, sau declarații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nearmonizate;</w:t>
      </w:r>
    </w:p>
    <w:p w14:paraId="51D053FB" w14:textId="77777777" w:rsidR="008032E1" w:rsidRPr="00F8320A" w:rsidRDefault="008032E1" w:rsidP="008032E1">
      <w:pPr>
        <w:spacing w:line="276" w:lineRule="auto"/>
        <w:jc w:val="both"/>
        <w:rPr>
          <w:rFonts w:ascii="Times New Roman" w:hAnsi="Times New Roman"/>
          <w:lang w:val="en-GB" w:eastAsia="ro-RO"/>
        </w:rPr>
      </w:pPr>
      <w:r w:rsidRPr="00F8320A">
        <w:rPr>
          <w:rFonts w:ascii="Times New Roman" w:hAnsi="Times New Roman"/>
          <w:lang w:val="en-GB" w:eastAsia="ro-RO"/>
        </w:rPr>
        <w:t>Constructorul va incheia contracte cu societati autorizate ce vor asigura eliminarea/valorificarea tuturor tipurilor de deseuri generate.</w:t>
      </w:r>
    </w:p>
    <w:p w14:paraId="6171B034" w14:textId="77777777" w:rsidR="00D82A62" w:rsidRDefault="00D82A62"/>
    <w:sectPr w:rsidR="00D82A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43"/>
    <w:rsid w:val="003E3B53"/>
    <w:rsid w:val="008032E1"/>
    <w:rsid w:val="00804543"/>
    <w:rsid w:val="00856170"/>
    <w:rsid w:val="00954765"/>
    <w:rsid w:val="00A72171"/>
    <w:rsid w:val="00AF0796"/>
    <w:rsid w:val="00B013D8"/>
    <w:rsid w:val="00B247A9"/>
    <w:rsid w:val="00BA3C54"/>
    <w:rsid w:val="00CA4FE7"/>
    <w:rsid w:val="00CA5F94"/>
    <w:rsid w:val="00D82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8EB89-3F68-4977-A923-730EA87D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2E1"/>
    <w:pPr>
      <w:widowControl w:val="0"/>
      <w:suppressAutoHyphens/>
      <w:spacing w:after="0" w:line="240" w:lineRule="auto"/>
    </w:pPr>
    <w:rPr>
      <w:rFonts w:ascii="Calibri" w:eastAsia="Lucida Sans Unicode" w:hAnsi="Calibri" w:cs="Times New Roman"/>
      <w:kern w:val="0"/>
      <w:lang w:val="ro-RO"/>
      <w14:ligatures w14:val="none"/>
    </w:rPr>
  </w:style>
  <w:style w:type="paragraph" w:styleId="Heading1">
    <w:name w:val="heading 1"/>
    <w:basedOn w:val="Normal"/>
    <w:next w:val="Normal"/>
    <w:link w:val="Heading1Char"/>
    <w:uiPriority w:val="9"/>
    <w:qFormat/>
    <w:rsid w:val="00804543"/>
    <w:pPr>
      <w:keepNext/>
      <w:keepLines/>
      <w:widowControl/>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804543"/>
    <w:pPr>
      <w:keepNext/>
      <w:keepLines/>
      <w:widowControl/>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804543"/>
    <w:pPr>
      <w:keepNext/>
      <w:keepLines/>
      <w:widowControl/>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804543"/>
    <w:pPr>
      <w:keepNext/>
      <w:keepLines/>
      <w:widowControl/>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804543"/>
    <w:pPr>
      <w:keepNext/>
      <w:keepLines/>
      <w:widowControl/>
      <w:suppressAutoHyphens w:val="0"/>
      <w:spacing w:before="80" w:after="40" w:line="278" w:lineRule="auto"/>
      <w:outlineLvl w:val="4"/>
    </w:pPr>
    <w:rPr>
      <w:rFonts w:asciiTheme="minorHAnsi" w:eastAsiaTheme="majorEastAsia" w:hAnsiTheme="minorHAnsi" w:cstheme="majorBidi"/>
      <w:color w:val="2F5496" w:themeColor="accent1" w:themeShade="BF"/>
      <w:kern w:val="2"/>
      <w:lang w:val="en-GB" w:eastAsia="en-US"/>
      <w14:ligatures w14:val="standardContextual"/>
    </w:rPr>
  </w:style>
  <w:style w:type="paragraph" w:styleId="Heading6">
    <w:name w:val="heading 6"/>
    <w:basedOn w:val="Normal"/>
    <w:next w:val="Normal"/>
    <w:link w:val="Heading6Char"/>
    <w:uiPriority w:val="9"/>
    <w:semiHidden/>
    <w:unhideWhenUsed/>
    <w:qFormat/>
    <w:rsid w:val="00804543"/>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804543"/>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804543"/>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804543"/>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5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45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45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45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45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4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543"/>
    <w:rPr>
      <w:rFonts w:eastAsiaTheme="majorEastAsia" w:cstheme="majorBidi"/>
      <w:color w:val="272727" w:themeColor="text1" w:themeTint="D8"/>
    </w:rPr>
  </w:style>
  <w:style w:type="paragraph" w:styleId="Title">
    <w:name w:val="Title"/>
    <w:basedOn w:val="Normal"/>
    <w:next w:val="Normal"/>
    <w:link w:val="TitleChar"/>
    <w:uiPriority w:val="10"/>
    <w:qFormat/>
    <w:rsid w:val="00804543"/>
    <w:pPr>
      <w:widowControl/>
      <w:suppressAutoHyphens w:val="0"/>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804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543"/>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804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543"/>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804543"/>
    <w:rPr>
      <w:i/>
      <w:iCs/>
      <w:color w:val="404040" w:themeColor="text1" w:themeTint="BF"/>
    </w:rPr>
  </w:style>
  <w:style w:type="paragraph" w:styleId="ListParagraph">
    <w:name w:val="List Paragraph"/>
    <w:basedOn w:val="Normal"/>
    <w:uiPriority w:val="34"/>
    <w:qFormat/>
    <w:rsid w:val="00804543"/>
    <w:pPr>
      <w:widowControl/>
      <w:suppressAutoHyphens w:val="0"/>
      <w:spacing w:after="160" w:line="278" w:lineRule="auto"/>
      <w:ind w:left="720"/>
      <w:contextualSpacing/>
    </w:pPr>
    <w:rPr>
      <w:rFonts w:asciiTheme="minorHAnsi" w:eastAsiaTheme="minorHAnsi" w:hAnsiTheme="minorHAnsi" w:cstheme="minorBidi"/>
      <w:kern w:val="2"/>
      <w:lang w:val="en-GB" w:eastAsia="en-US"/>
      <w14:ligatures w14:val="standardContextual"/>
    </w:rPr>
  </w:style>
  <w:style w:type="character" w:styleId="IntenseEmphasis">
    <w:name w:val="Intense Emphasis"/>
    <w:basedOn w:val="DefaultParagraphFont"/>
    <w:uiPriority w:val="21"/>
    <w:qFormat/>
    <w:rsid w:val="00804543"/>
    <w:rPr>
      <w:i/>
      <w:iCs/>
      <w:color w:val="2F5496" w:themeColor="accent1" w:themeShade="BF"/>
    </w:rPr>
  </w:style>
  <w:style w:type="paragraph" w:styleId="IntenseQuote">
    <w:name w:val="Intense Quote"/>
    <w:basedOn w:val="Normal"/>
    <w:next w:val="Normal"/>
    <w:link w:val="IntenseQuoteChar"/>
    <w:uiPriority w:val="30"/>
    <w:qFormat/>
    <w:rsid w:val="00804543"/>
    <w:pPr>
      <w:widowControl/>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804543"/>
    <w:rPr>
      <w:i/>
      <w:iCs/>
      <w:color w:val="2F5496" w:themeColor="accent1" w:themeShade="BF"/>
    </w:rPr>
  </w:style>
  <w:style w:type="character" w:styleId="IntenseReference">
    <w:name w:val="Intense Reference"/>
    <w:basedOn w:val="DefaultParagraphFont"/>
    <w:uiPriority w:val="32"/>
    <w:qFormat/>
    <w:rsid w:val="008045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2294</Words>
  <Characters>13078</Characters>
  <Application>Microsoft Office Word</Application>
  <DocSecurity>0</DocSecurity>
  <Lines>108</Lines>
  <Paragraphs>30</Paragraphs>
  <ScaleCrop>false</ScaleCrop>
  <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Heliana Popa</dc:creator>
  <cp:keywords/>
  <dc:description/>
  <cp:lastModifiedBy>Heliana Popa</cp:lastModifiedBy>
  <cp:revision>2</cp:revision>
  <dcterms:created xsi:type="dcterms:W3CDTF">2025-12-22T08:29:00Z</dcterms:created>
  <dcterms:modified xsi:type="dcterms:W3CDTF">2025-12-22T08:30:00Z</dcterms:modified>
</cp:coreProperties>
</file>