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6F0C6" w14:textId="71CA918F" w:rsidR="005E7554" w:rsidRPr="008438D6" w:rsidRDefault="008A1EC6" w:rsidP="003D2F7D">
      <w:pPr>
        <w:jc w:val="center"/>
        <w:rPr>
          <w:rFonts w:eastAsia="Times New Roman" w:cstheme="minorHAnsi"/>
          <w:b/>
          <w:bCs/>
          <w:noProof/>
          <w:sz w:val="24"/>
          <w:szCs w:val="24"/>
          <w:lang w:eastAsia="ro-RO"/>
        </w:rPr>
      </w:pPr>
      <w:r w:rsidRPr="008438D6">
        <w:rPr>
          <w:rFonts w:eastAsia="Times New Roman" w:cstheme="minorHAnsi"/>
          <w:b/>
          <w:bCs/>
          <w:noProof/>
          <w:sz w:val="24"/>
          <w:szCs w:val="24"/>
          <w:lang w:eastAsia="ro-RO"/>
        </w:rPr>
        <w:t xml:space="preserve">Anexa </w:t>
      </w:r>
      <w:r w:rsidR="00817E44" w:rsidRPr="008438D6">
        <w:rPr>
          <w:rFonts w:eastAsia="Times New Roman" w:cstheme="minorHAnsi"/>
          <w:b/>
          <w:bCs/>
          <w:noProof/>
          <w:sz w:val="24"/>
          <w:szCs w:val="24"/>
          <w:lang w:eastAsia="ro-RO"/>
        </w:rPr>
        <w:t>2</w:t>
      </w:r>
      <w:r w:rsidRPr="008438D6">
        <w:rPr>
          <w:rFonts w:eastAsia="Times New Roman" w:cstheme="minorHAnsi"/>
          <w:b/>
          <w:bCs/>
          <w:noProof/>
          <w:sz w:val="24"/>
          <w:szCs w:val="24"/>
          <w:lang w:eastAsia="ro-RO"/>
        </w:rPr>
        <w:t xml:space="preserve"> - </w:t>
      </w:r>
      <w:r w:rsidR="007B5161" w:rsidRPr="008438D6">
        <w:rPr>
          <w:rFonts w:eastAsia="Times New Roman" w:cstheme="minorHAnsi"/>
          <w:b/>
          <w:bCs/>
          <w:noProof/>
          <w:sz w:val="24"/>
          <w:szCs w:val="24"/>
          <w:lang w:eastAsia="ro-RO"/>
        </w:rPr>
        <w:t>Garanţia de bună execuţie</w:t>
      </w:r>
    </w:p>
    <w:p w14:paraId="5A23BD4A" w14:textId="457418E4" w:rsidR="00B81BA1" w:rsidRPr="008438D6" w:rsidRDefault="00B81BA1" w:rsidP="00094F7F">
      <w:pPr>
        <w:spacing w:after="0" w:line="240" w:lineRule="auto"/>
        <w:jc w:val="both"/>
        <w:rPr>
          <w:rFonts w:eastAsia="Times New Roman" w:cstheme="minorHAnsi"/>
          <w:noProof/>
          <w:sz w:val="24"/>
          <w:szCs w:val="24"/>
          <w:lang w:eastAsia="ro-RO"/>
        </w:rPr>
      </w:pPr>
      <w:r w:rsidRPr="008438D6">
        <w:rPr>
          <w:rFonts w:eastAsia="Times New Roman" w:cstheme="minorHAnsi"/>
          <w:noProof/>
          <w:sz w:val="24"/>
          <w:szCs w:val="24"/>
          <w:lang w:eastAsia="ro-RO"/>
        </w:rPr>
        <w:t>Garanţia de bună execuţie a contractului se constituie de către contractant în scopul asigurării entităţii contractante de îndeplinirea cantitativă, calitativă şi în perioada convenită a contractului sectorial/contractului subsecvent.</w:t>
      </w:r>
    </w:p>
    <w:p w14:paraId="11EBC177" w14:textId="77777777" w:rsidR="003D2F7D" w:rsidRPr="008438D6" w:rsidRDefault="003D2F7D" w:rsidP="00094F7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ro-RO"/>
        </w:rPr>
      </w:pPr>
    </w:p>
    <w:p w14:paraId="45BF4653" w14:textId="5113E124" w:rsidR="00B15D29" w:rsidRPr="008438D6" w:rsidRDefault="00B15D29" w:rsidP="00094F7F">
      <w:pPr>
        <w:spacing w:after="0" w:line="240" w:lineRule="auto"/>
        <w:jc w:val="both"/>
        <w:rPr>
          <w:rFonts w:eastAsia="Times New Roman" w:cstheme="minorHAnsi"/>
          <w:noProof/>
          <w:sz w:val="24"/>
          <w:szCs w:val="24"/>
          <w:lang w:eastAsia="ro-RO"/>
        </w:rPr>
      </w:pPr>
      <w:r w:rsidRPr="008438D6">
        <w:rPr>
          <w:rFonts w:eastAsia="Times New Roman" w:cstheme="minorHAnsi"/>
          <w:noProof/>
          <w:sz w:val="24"/>
          <w:szCs w:val="24"/>
          <w:lang w:eastAsia="ro-RO"/>
        </w:rPr>
        <w:t xml:space="preserve">Garanţia de bună execuţie trebuie să fie irevocabilă, necondiţionată şi se constituie conform </w:t>
      </w:r>
      <w:r w:rsidRPr="008438D6">
        <w:rPr>
          <w:rFonts w:cstheme="minorHAnsi"/>
          <w:sz w:val="24"/>
          <w:szCs w:val="24"/>
        </w:rPr>
        <w:t xml:space="preserve">art. 164 din Legea nr. 99/2016 </w:t>
      </w:r>
      <w:r w:rsidRPr="008438D6">
        <w:rPr>
          <w:rFonts w:eastAsia="Times New Roman" w:cstheme="minorHAnsi"/>
          <w:noProof/>
          <w:sz w:val="24"/>
          <w:szCs w:val="24"/>
          <w:lang w:eastAsia="ro-RO"/>
        </w:rPr>
        <w:t>prin:</w:t>
      </w:r>
    </w:p>
    <w:p w14:paraId="55F9B7D7" w14:textId="77777777" w:rsidR="00B15D29" w:rsidRPr="008438D6" w:rsidRDefault="00B15D29" w:rsidP="00094F7F">
      <w:pPr>
        <w:spacing w:after="0" w:line="240" w:lineRule="auto"/>
        <w:jc w:val="both"/>
        <w:rPr>
          <w:rFonts w:eastAsia="Times New Roman" w:cstheme="minorHAnsi"/>
          <w:noProof/>
          <w:sz w:val="24"/>
          <w:szCs w:val="24"/>
          <w:lang w:eastAsia="ro-RO"/>
        </w:rPr>
      </w:pPr>
    </w:p>
    <w:p w14:paraId="680E9D34" w14:textId="77777777" w:rsidR="00B15D29" w:rsidRPr="008438D6" w:rsidRDefault="00B15D29" w:rsidP="00094F7F">
      <w:pPr>
        <w:jc w:val="both"/>
        <w:rPr>
          <w:rFonts w:cstheme="minorHAnsi"/>
          <w:sz w:val="24"/>
          <w:szCs w:val="24"/>
        </w:rPr>
      </w:pPr>
      <w:r w:rsidRPr="008438D6">
        <w:rPr>
          <w:rFonts w:cstheme="minorHAnsi"/>
          <w:b/>
          <w:bCs/>
          <w:sz w:val="24"/>
          <w:szCs w:val="24"/>
        </w:rPr>
        <w:t>a)</w:t>
      </w:r>
      <w:r w:rsidRPr="008438D6">
        <w:rPr>
          <w:rFonts w:cstheme="minorHAnsi"/>
          <w:sz w:val="24"/>
          <w:szCs w:val="24"/>
        </w:rPr>
        <w:t xml:space="preserve"> virament bancar în contul Companiei APA  Braşov S.A. RO81BRDE080SV05660200800</w:t>
      </w:r>
    </w:p>
    <w:p w14:paraId="17C67502" w14:textId="77777777" w:rsidR="00AD386D" w:rsidRPr="008438D6" w:rsidRDefault="00AD386D" w:rsidP="00094F7F">
      <w:pPr>
        <w:spacing w:after="0" w:line="240" w:lineRule="auto"/>
        <w:jc w:val="both"/>
        <w:rPr>
          <w:rStyle w:val="slitbdy"/>
          <w:noProof/>
          <w:sz w:val="24"/>
          <w:szCs w:val="24"/>
        </w:rPr>
      </w:pPr>
      <w:r w:rsidRPr="008438D6">
        <w:rPr>
          <w:b/>
          <w:bCs/>
        </w:rPr>
        <w:t>b)</w:t>
      </w:r>
      <w:r w:rsidRPr="008438D6">
        <w:t xml:space="preserve"> </w:t>
      </w:r>
      <w:r w:rsidRPr="008438D6">
        <w:rPr>
          <w:rStyle w:val="slitbdy"/>
          <w:noProof/>
          <w:sz w:val="24"/>
          <w:szCs w:val="24"/>
        </w:rPr>
        <w:t xml:space="preserve">instrumente de garantare emise în condițiile legii astfel: </w:t>
      </w:r>
    </w:p>
    <w:p w14:paraId="5A9E0FEB" w14:textId="77777777" w:rsidR="00AD386D" w:rsidRPr="008438D6" w:rsidRDefault="00AD386D" w:rsidP="00094F7F">
      <w:pPr>
        <w:spacing w:after="0" w:line="240" w:lineRule="auto"/>
        <w:jc w:val="both"/>
        <w:rPr>
          <w:rStyle w:val="slitbdy"/>
          <w:noProof/>
          <w:sz w:val="24"/>
          <w:szCs w:val="24"/>
        </w:rPr>
      </w:pPr>
      <w:r w:rsidRPr="008438D6">
        <w:rPr>
          <w:rStyle w:val="slitbdy"/>
          <w:noProof/>
          <w:sz w:val="24"/>
          <w:szCs w:val="24"/>
        </w:rPr>
        <w:t xml:space="preserve">(i) scrisori de garanție emise de instituții de credit bancare din România sau din alt stat; </w:t>
      </w:r>
    </w:p>
    <w:p w14:paraId="288842E9" w14:textId="77777777" w:rsidR="00AD386D" w:rsidRPr="008438D6" w:rsidRDefault="00AD386D" w:rsidP="00094F7F">
      <w:pPr>
        <w:spacing w:after="0" w:line="240" w:lineRule="auto"/>
        <w:jc w:val="both"/>
        <w:rPr>
          <w:rStyle w:val="slitbdy"/>
          <w:noProof/>
          <w:sz w:val="24"/>
          <w:szCs w:val="24"/>
        </w:rPr>
      </w:pPr>
      <w:r w:rsidRPr="008438D6">
        <w:rPr>
          <w:rStyle w:val="slitbdy"/>
          <w:noProof/>
          <w:sz w:val="24"/>
          <w:szCs w:val="24"/>
        </w:rPr>
        <w:t xml:space="preserve">(ii) scrisori de garanție emise de instituții financiare nebancare din România sau din alt stat pentru achizițiile de lucrări a căror valoare estimată este mai mică sau egală cu 40.000.000 lei fără TVA și respectiv pentru achizițiile de produse sau servicii a căror valoare estimată este mai mică sau egală cu 7.000.000 lei fără TVA; </w:t>
      </w:r>
    </w:p>
    <w:p w14:paraId="36FAA9C3" w14:textId="77777777" w:rsidR="00AD386D" w:rsidRPr="008438D6" w:rsidRDefault="00AD386D" w:rsidP="00094F7F">
      <w:pPr>
        <w:spacing w:after="0" w:line="240" w:lineRule="auto"/>
        <w:jc w:val="both"/>
        <w:rPr>
          <w:rStyle w:val="slitbdy"/>
          <w:noProof/>
          <w:sz w:val="24"/>
          <w:szCs w:val="24"/>
        </w:rPr>
      </w:pPr>
      <w:r w:rsidRPr="008438D6">
        <w:rPr>
          <w:rStyle w:val="slitbdy"/>
          <w:noProof/>
          <w:sz w:val="24"/>
          <w:szCs w:val="24"/>
        </w:rPr>
        <w:t xml:space="preserve">(iii) asigurări de garanții emise: </w:t>
      </w:r>
    </w:p>
    <w:p w14:paraId="06E8F452" w14:textId="77777777" w:rsidR="00AD386D" w:rsidRPr="008438D6" w:rsidRDefault="00AD386D" w:rsidP="00094F7F">
      <w:pPr>
        <w:spacing w:after="0" w:line="240" w:lineRule="auto"/>
        <w:jc w:val="both"/>
        <w:rPr>
          <w:rStyle w:val="slitbdy"/>
          <w:noProof/>
          <w:sz w:val="24"/>
          <w:szCs w:val="24"/>
        </w:rPr>
      </w:pPr>
      <w:r w:rsidRPr="008438D6">
        <w:rPr>
          <w:rStyle w:val="slitbdy"/>
          <w:noProof/>
          <w:sz w:val="24"/>
          <w:szCs w:val="24"/>
        </w:rPr>
        <w:t xml:space="preserve">— fie de societăți de asigurare care dețin autorizații de funcționare emise în România sau într-un alt stat membru al Uniunii Europene și/sau care sunt înscrise în registrele publicate pe site-ul Autorității de Supraveghere Financiară, după caz; </w:t>
      </w:r>
    </w:p>
    <w:p w14:paraId="7F80DFBD" w14:textId="6D01C076" w:rsidR="00B15D29" w:rsidRPr="008438D6" w:rsidRDefault="00AD386D" w:rsidP="00094F7F">
      <w:pPr>
        <w:spacing w:after="0" w:line="240" w:lineRule="auto"/>
        <w:jc w:val="both"/>
        <w:rPr>
          <w:rStyle w:val="slitbdy"/>
        </w:rPr>
      </w:pPr>
      <w:r w:rsidRPr="008438D6">
        <w:rPr>
          <w:rStyle w:val="slitbdy"/>
          <w:noProof/>
          <w:sz w:val="24"/>
          <w:szCs w:val="24"/>
        </w:rPr>
        <w:t xml:space="preserve">— fie de societăți de asigurare din state terțe prin sucursale autorizate în România de către Autoritatea de Supraveghere Financiară; </w:t>
      </w:r>
    </w:p>
    <w:p w14:paraId="0E144D66" w14:textId="77777777" w:rsidR="00B15D29" w:rsidRPr="008438D6" w:rsidRDefault="00B15D29" w:rsidP="00094F7F">
      <w:pPr>
        <w:spacing w:after="0" w:line="240" w:lineRule="auto"/>
        <w:jc w:val="both"/>
        <w:rPr>
          <w:rFonts w:eastAsia="Times New Roman" w:cstheme="minorHAnsi"/>
          <w:noProof/>
          <w:sz w:val="24"/>
          <w:szCs w:val="24"/>
          <w:lang w:eastAsia="ro-RO"/>
        </w:rPr>
      </w:pPr>
    </w:p>
    <w:p w14:paraId="3BE9FFB9" w14:textId="77777777" w:rsidR="00B15D29" w:rsidRPr="008438D6" w:rsidRDefault="00B15D29" w:rsidP="00094F7F">
      <w:pPr>
        <w:jc w:val="both"/>
        <w:rPr>
          <w:rFonts w:cstheme="minorHAnsi"/>
          <w:sz w:val="24"/>
          <w:szCs w:val="24"/>
        </w:rPr>
      </w:pPr>
      <w:r w:rsidRPr="008438D6">
        <w:rPr>
          <w:rFonts w:eastAsia="Times New Roman" w:cstheme="minorHAnsi"/>
          <w:b/>
          <w:bCs/>
          <w:noProof/>
          <w:sz w:val="24"/>
          <w:szCs w:val="24"/>
          <w:lang w:eastAsia="ro-RO"/>
        </w:rPr>
        <w:t>c)</w:t>
      </w:r>
      <w:r w:rsidRPr="008438D6">
        <w:rPr>
          <w:rFonts w:eastAsia="Times New Roman" w:cstheme="minorHAnsi"/>
          <w:noProof/>
          <w:sz w:val="24"/>
          <w:szCs w:val="24"/>
          <w:lang w:eastAsia="ro-RO"/>
        </w:rPr>
        <w:t xml:space="preserve"> prin depunerea la casierie a unor sume în numerar dacă valoarea este mai mică de 5.000 lei (</w:t>
      </w:r>
      <w:r w:rsidRPr="008438D6">
        <w:rPr>
          <w:rFonts w:cstheme="minorHAnsi"/>
          <w:sz w:val="24"/>
          <w:szCs w:val="24"/>
        </w:rPr>
        <w:t>la Casieria Centrala a Companiei APA Brasov S.A., din Brasov, str. Crisana nr.1-3, program zilnic ora: 11-14).</w:t>
      </w:r>
    </w:p>
    <w:p w14:paraId="6AF76B2E" w14:textId="5DB43CDE" w:rsidR="00B15D29" w:rsidRPr="008438D6" w:rsidRDefault="00B15D29" w:rsidP="00094F7F">
      <w:pPr>
        <w:jc w:val="both"/>
        <w:rPr>
          <w:sz w:val="24"/>
          <w:szCs w:val="24"/>
        </w:rPr>
      </w:pPr>
      <w:r w:rsidRPr="008438D6">
        <w:rPr>
          <w:rStyle w:val="slitttl"/>
          <w:b/>
          <w:bCs/>
          <w:sz w:val="24"/>
          <w:szCs w:val="24"/>
        </w:rPr>
        <w:t>d)</w:t>
      </w:r>
      <w:r w:rsidRPr="008438D6">
        <w:rPr>
          <w:sz w:val="24"/>
          <w:szCs w:val="24"/>
        </w:rPr>
        <w:t xml:space="preserve"> </w:t>
      </w:r>
      <w:r w:rsidRPr="008438D6">
        <w:rPr>
          <w:rStyle w:val="slitbdy"/>
          <w:noProof/>
          <w:sz w:val="24"/>
          <w:szCs w:val="24"/>
        </w:rPr>
        <w:t>prin reţineri succesive din sumele datorate pentru facturi parţiale;</w:t>
      </w:r>
    </w:p>
    <w:p w14:paraId="30D7A69E" w14:textId="3E455F7E" w:rsidR="00B15D29" w:rsidRPr="008438D6" w:rsidRDefault="00B15D29" w:rsidP="00094F7F">
      <w:pPr>
        <w:jc w:val="both"/>
        <w:rPr>
          <w:sz w:val="24"/>
          <w:szCs w:val="24"/>
        </w:rPr>
      </w:pPr>
      <w:r w:rsidRPr="008438D6">
        <w:rPr>
          <w:rStyle w:val="slitttl"/>
          <w:b/>
          <w:bCs/>
          <w:sz w:val="24"/>
          <w:szCs w:val="24"/>
        </w:rPr>
        <w:t>e)</w:t>
      </w:r>
      <w:r w:rsidRPr="008438D6">
        <w:rPr>
          <w:sz w:val="24"/>
          <w:szCs w:val="24"/>
        </w:rPr>
        <w:t xml:space="preserve"> </w:t>
      </w:r>
      <w:r w:rsidRPr="008438D6">
        <w:rPr>
          <w:rStyle w:val="slitbdy"/>
          <w:noProof/>
          <w:sz w:val="24"/>
          <w:szCs w:val="24"/>
        </w:rPr>
        <w:t xml:space="preserve">prin combinarea a două sau mai multe dintre modalităţile de constituire prevăzute la </w:t>
      </w:r>
      <w:hyperlink w:history="1">
        <w:r w:rsidRPr="008438D6">
          <w:rPr>
            <w:rStyle w:val="Hyperlink"/>
            <w:noProof/>
            <w:color w:val="auto"/>
            <w:sz w:val="24"/>
            <w:szCs w:val="24"/>
          </w:rPr>
          <w:t>lit. a)-c)</w:t>
        </w:r>
      </w:hyperlink>
      <w:r w:rsidR="007E3630" w:rsidRPr="008438D6">
        <w:rPr>
          <w:rStyle w:val="slitbdy"/>
          <w:noProof/>
          <w:sz w:val="24"/>
          <w:szCs w:val="24"/>
        </w:rPr>
        <w:t>.</w:t>
      </w:r>
    </w:p>
    <w:p w14:paraId="032A6ED6" w14:textId="1B04227E" w:rsidR="003D2F7D" w:rsidRPr="008438D6" w:rsidRDefault="003D2F7D" w:rsidP="00094F7F">
      <w:pPr>
        <w:spacing w:after="0" w:line="240" w:lineRule="auto"/>
        <w:jc w:val="both"/>
        <w:rPr>
          <w:rFonts w:eastAsia="Times New Roman" w:cstheme="minorHAnsi"/>
          <w:noProof/>
          <w:sz w:val="24"/>
          <w:szCs w:val="24"/>
          <w:lang w:eastAsia="ro-RO"/>
        </w:rPr>
      </w:pPr>
    </w:p>
    <w:p w14:paraId="0F0CB807" w14:textId="49173829" w:rsidR="00A236B8" w:rsidRPr="008438D6" w:rsidRDefault="00A236B8" w:rsidP="00094F7F">
      <w:pPr>
        <w:jc w:val="both"/>
        <w:rPr>
          <w:rFonts w:cstheme="minorHAnsi"/>
          <w:sz w:val="24"/>
          <w:szCs w:val="24"/>
        </w:rPr>
      </w:pPr>
      <w:r w:rsidRPr="008438D6">
        <w:rPr>
          <w:rFonts w:cstheme="minorHAnsi"/>
          <w:sz w:val="24"/>
          <w:szCs w:val="24"/>
        </w:rPr>
        <w:t>In cazul in care garantia de buna executie se constituie printr-un instrument de garantare, acesta va fi completat conform Formular</w:t>
      </w:r>
      <w:r w:rsidR="000B76B4">
        <w:rPr>
          <w:rFonts w:cstheme="minorHAnsi"/>
          <w:sz w:val="24"/>
          <w:szCs w:val="24"/>
        </w:rPr>
        <w:t>ului</w:t>
      </w:r>
      <w:r w:rsidRPr="008438D6">
        <w:rPr>
          <w:rFonts w:cstheme="minorHAnsi"/>
          <w:sz w:val="24"/>
          <w:szCs w:val="24"/>
        </w:rPr>
        <w:t xml:space="preserve"> din „</w:t>
      </w:r>
      <w:r w:rsidR="00334CBC">
        <w:rPr>
          <w:rFonts w:cstheme="minorHAnsi"/>
          <w:sz w:val="24"/>
          <w:szCs w:val="24"/>
        </w:rPr>
        <w:t xml:space="preserve">Modele </w:t>
      </w:r>
      <w:r w:rsidR="00556BE3">
        <w:rPr>
          <w:rFonts w:cstheme="minorHAnsi"/>
          <w:sz w:val="24"/>
          <w:szCs w:val="24"/>
        </w:rPr>
        <w:t>F</w:t>
      </w:r>
      <w:r w:rsidRPr="008438D6">
        <w:rPr>
          <w:rFonts w:cstheme="minorHAnsi"/>
          <w:sz w:val="24"/>
          <w:szCs w:val="24"/>
        </w:rPr>
        <w:t>ormulare” puse la dispozitie de entitatea contractanta in SEAP.</w:t>
      </w:r>
    </w:p>
    <w:p w14:paraId="738EE8D7" w14:textId="3D9E829D" w:rsidR="007E3630" w:rsidRPr="00094F7F" w:rsidRDefault="007E3630" w:rsidP="00094F7F">
      <w:pPr>
        <w:jc w:val="both"/>
        <w:rPr>
          <w:rFonts w:cstheme="minorHAnsi"/>
          <w:sz w:val="24"/>
          <w:szCs w:val="24"/>
        </w:rPr>
      </w:pPr>
      <w:r w:rsidRPr="008438D6">
        <w:rPr>
          <w:rFonts w:cstheme="minorHAnsi"/>
          <w:sz w:val="24"/>
          <w:szCs w:val="24"/>
        </w:rPr>
        <w:t>Restituirea garantiei se face conform art. 164</w:t>
      </w:r>
      <w:r w:rsidRPr="008438D6">
        <w:rPr>
          <w:rFonts w:cstheme="minorHAnsi"/>
          <w:sz w:val="24"/>
          <w:szCs w:val="24"/>
          <w:vertAlign w:val="superscript"/>
        </w:rPr>
        <w:t>2</w:t>
      </w:r>
      <w:r w:rsidRPr="008438D6">
        <w:rPr>
          <w:rFonts w:cstheme="minorHAnsi"/>
          <w:sz w:val="24"/>
          <w:szCs w:val="24"/>
        </w:rPr>
        <w:t xml:space="preserve"> din Legea nr. 99/2016.</w:t>
      </w:r>
    </w:p>
    <w:p w14:paraId="3E203DDF" w14:textId="77777777" w:rsidR="003D2F7D" w:rsidRPr="00094F7F" w:rsidRDefault="003D2F7D" w:rsidP="00094F7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ro-RO"/>
        </w:rPr>
      </w:pPr>
    </w:p>
    <w:sectPr w:rsidR="003D2F7D" w:rsidRPr="00094F7F" w:rsidSect="007F0D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36B"/>
    <w:rsid w:val="00094F7F"/>
    <w:rsid w:val="000B76B4"/>
    <w:rsid w:val="00184DC8"/>
    <w:rsid w:val="001A0B26"/>
    <w:rsid w:val="00312C6B"/>
    <w:rsid w:val="00320D08"/>
    <w:rsid w:val="00334CBC"/>
    <w:rsid w:val="003D2F7D"/>
    <w:rsid w:val="003D6608"/>
    <w:rsid w:val="003E25A8"/>
    <w:rsid w:val="003E6C96"/>
    <w:rsid w:val="004277C8"/>
    <w:rsid w:val="00547820"/>
    <w:rsid w:val="00556BE3"/>
    <w:rsid w:val="005E7554"/>
    <w:rsid w:val="00731DCC"/>
    <w:rsid w:val="0073236B"/>
    <w:rsid w:val="00741D3D"/>
    <w:rsid w:val="007B5161"/>
    <w:rsid w:val="007E3630"/>
    <w:rsid w:val="007F0D46"/>
    <w:rsid w:val="00817E44"/>
    <w:rsid w:val="008306E3"/>
    <w:rsid w:val="008438D6"/>
    <w:rsid w:val="008A1EC6"/>
    <w:rsid w:val="00923ACD"/>
    <w:rsid w:val="00A236B8"/>
    <w:rsid w:val="00A62B59"/>
    <w:rsid w:val="00AD386D"/>
    <w:rsid w:val="00B15D29"/>
    <w:rsid w:val="00B672F1"/>
    <w:rsid w:val="00B81BA1"/>
    <w:rsid w:val="00BC3E3E"/>
    <w:rsid w:val="00BF1DDA"/>
    <w:rsid w:val="00C11F5A"/>
    <w:rsid w:val="00D12C7A"/>
    <w:rsid w:val="00D25EE3"/>
    <w:rsid w:val="00E51FDD"/>
    <w:rsid w:val="00E77B57"/>
    <w:rsid w:val="00EE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538DD"/>
  <w15:chartTrackingRefBased/>
  <w15:docId w15:val="{2730F062-933F-4AE0-9E14-B3ABC6DED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4">
    <w:name w:val="heading 4"/>
    <w:basedOn w:val="Normal"/>
    <w:link w:val="Titlu4Caracter"/>
    <w:uiPriority w:val="9"/>
    <w:qFormat/>
    <w:rsid w:val="005E755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uiPriority w:val="9"/>
    <w:rsid w:val="005E7554"/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customStyle="1" w:styleId="sartttl">
    <w:name w:val="s_art_ttl"/>
    <w:basedOn w:val="Normal"/>
    <w:rsid w:val="00B81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salnttl">
    <w:name w:val="s_aln_ttl"/>
    <w:basedOn w:val="Fontdeparagrafimplicit"/>
    <w:rsid w:val="00B81BA1"/>
  </w:style>
  <w:style w:type="character" w:customStyle="1" w:styleId="salnbdy">
    <w:name w:val="s_aln_bdy"/>
    <w:basedOn w:val="Fontdeparagrafimplicit"/>
    <w:rsid w:val="00B81BA1"/>
  </w:style>
  <w:style w:type="character" w:styleId="Hyperlink">
    <w:name w:val="Hyperlink"/>
    <w:basedOn w:val="Fontdeparagrafimplicit"/>
    <w:uiPriority w:val="99"/>
    <w:semiHidden/>
    <w:unhideWhenUsed/>
    <w:rsid w:val="00B81BA1"/>
    <w:rPr>
      <w:color w:val="0000FF"/>
      <w:u w:val="single"/>
    </w:rPr>
  </w:style>
  <w:style w:type="paragraph" w:customStyle="1" w:styleId="spar">
    <w:name w:val="s_par"/>
    <w:basedOn w:val="Normal"/>
    <w:rsid w:val="00B81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slitttl">
    <w:name w:val="s_lit_ttl"/>
    <w:basedOn w:val="Fontdeparagrafimplicit"/>
    <w:rsid w:val="00B81BA1"/>
  </w:style>
  <w:style w:type="character" w:customStyle="1" w:styleId="slitbdy">
    <w:name w:val="s_lit_bdy"/>
    <w:basedOn w:val="Fontdeparagrafimplicit"/>
    <w:rsid w:val="00B81BA1"/>
  </w:style>
  <w:style w:type="character" w:customStyle="1" w:styleId="slinttl">
    <w:name w:val="s_lin_ttl"/>
    <w:basedOn w:val="Fontdeparagrafimplicit"/>
    <w:rsid w:val="00B81BA1"/>
  </w:style>
  <w:style w:type="character" w:customStyle="1" w:styleId="slinbdy">
    <w:name w:val="s_lin_bdy"/>
    <w:basedOn w:val="Fontdeparagrafimplicit"/>
    <w:rsid w:val="00B81BA1"/>
  </w:style>
  <w:style w:type="character" w:customStyle="1" w:styleId="spctttl">
    <w:name w:val="s_pct_ttl"/>
    <w:basedOn w:val="Fontdeparagrafimplicit"/>
    <w:rsid w:val="00E51FDD"/>
  </w:style>
  <w:style w:type="character" w:customStyle="1" w:styleId="spctbdy">
    <w:name w:val="s_pct_bdy"/>
    <w:basedOn w:val="Fontdeparagrafimplicit"/>
    <w:rsid w:val="00E51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3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8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9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5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10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17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76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78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40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550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56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6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02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52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59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95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35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5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97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92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00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8802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67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27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33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26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8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57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47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02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77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6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82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02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2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53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61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44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2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42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805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58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7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22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662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43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421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34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97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97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89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28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82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63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82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304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AB</cp:lastModifiedBy>
  <cp:revision>20</cp:revision>
  <dcterms:created xsi:type="dcterms:W3CDTF">2022-07-20T07:37:00Z</dcterms:created>
  <dcterms:modified xsi:type="dcterms:W3CDTF">2024-02-29T09:00:00Z</dcterms:modified>
</cp:coreProperties>
</file>