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23E1C" w14:textId="77DF0F51" w:rsidR="00F76F9F" w:rsidRPr="009D568A" w:rsidRDefault="00CA240E" w:rsidP="00DC6CE5">
      <w:pPr>
        <w:spacing w:after="0" w:line="240" w:lineRule="auto"/>
        <w:contextualSpacing/>
        <w:jc w:val="center"/>
        <w:rPr>
          <w:rFonts w:ascii="Times New Roman" w:eastAsia="Calibri" w:hAnsi="Times New Roman" w:cs="Times New Roman"/>
          <w:noProof/>
          <w:sz w:val="24"/>
          <w:szCs w:val="24"/>
        </w:rPr>
      </w:pPr>
      <w:bookmarkStart w:id="0" w:name="_GoBack"/>
      <w:bookmarkEnd w:id="0"/>
      <w:r w:rsidRPr="009D568A">
        <w:rPr>
          <w:rFonts w:ascii="Times New Roman" w:eastAsia="Calibri" w:hAnsi="Times New Roman" w:cs="Times New Roman"/>
          <w:noProof/>
          <w:sz w:val="24"/>
          <w:szCs w:val="24"/>
        </w:rPr>
        <w:t>execuție lucrări pentru realizarea obiectivului</w:t>
      </w:r>
    </w:p>
    <w:p w14:paraId="0AEE6D2D" w14:textId="1ACF4DB1" w:rsidR="009D568A" w:rsidRPr="009D568A" w:rsidRDefault="009D568A" w:rsidP="00DC6CE5">
      <w:pPr>
        <w:spacing w:after="0" w:line="240" w:lineRule="auto"/>
        <w:contextualSpacing/>
        <w:jc w:val="center"/>
        <w:rPr>
          <w:rFonts w:ascii="Times New Roman" w:hAnsi="Times New Roman" w:cs="Times New Roman"/>
          <w:b/>
          <w:sz w:val="24"/>
          <w:szCs w:val="24"/>
        </w:rPr>
      </w:pPr>
      <w:r w:rsidRPr="009D568A">
        <w:rPr>
          <w:rFonts w:ascii="Times New Roman" w:hAnsi="Times New Roman" w:cs="Times New Roman"/>
          <w:b/>
          <w:noProof/>
          <w:sz w:val="24"/>
          <w:szCs w:val="24"/>
        </w:rPr>
        <w:t>”</w:t>
      </w:r>
      <w:bookmarkStart w:id="1" w:name="_Hlk111050448"/>
      <w:r w:rsidR="00ED4013" w:rsidRPr="00ED4013">
        <w:rPr>
          <w:rFonts w:ascii="Times New Roman" w:hAnsi="Times New Roman" w:cs="Times New Roman"/>
          <w:b/>
          <w:noProof/>
          <w:sz w:val="24"/>
          <w:szCs w:val="24"/>
        </w:rPr>
        <w:t>ÎMBUNĂTĂȚIREA EFICIENȚEI ENERGETICE A SEDIULUI PRIMĂRIEI COMUNEI SMÂRDAN, JUDEȚUL GALAȚI</w:t>
      </w:r>
      <w:r w:rsidRPr="009D568A">
        <w:rPr>
          <w:rFonts w:ascii="Times New Roman" w:hAnsi="Times New Roman" w:cs="Times New Roman"/>
          <w:b/>
          <w:noProof/>
          <w:sz w:val="24"/>
          <w:szCs w:val="24"/>
        </w:rPr>
        <w:t>”</w:t>
      </w:r>
      <w:bookmarkEnd w:id="1"/>
    </w:p>
    <w:p w14:paraId="163EEEBE" w14:textId="77777777" w:rsidR="00F76F9F" w:rsidRPr="009B7265" w:rsidRDefault="00F76F9F" w:rsidP="00DC6CE5">
      <w:pPr>
        <w:spacing w:after="0" w:line="240" w:lineRule="auto"/>
        <w:contextualSpacing/>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854"/>
      </w:tblGrid>
      <w:tr w:rsidR="009B7265" w:rsidRPr="009B7265" w14:paraId="67830DC7" w14:textId="77777777" w:rsidTr="00EE6B5A">
        <w:tc>
          <w:tcPr>
            <w:tcW w:w="9628" w:type="dxa"/>
          </w:tcPr>
          <w:p w14:paraId="46B5A336" w14:textId="77777777" w:rsidR="00E86E36" w:rsidRPr="009B7265" w:rsidRDefault="00E86E36" w:rsidP="00DC6CE5">
            <w:pPr>
              <w:contextualSpacing/>
              <w:jc w:val="both"/>
              <w:rPr>
                <w:rFonts w:ascii="Times New Roman" w:hAnsi="Times New Roman" w:cs="Times New Roman"/>
                <w:b/>
                <w:sz w:val="20"/>
                <w:szCs w:val="20"/>
              </w:rPr>
            </w:pPr>
            <w:r w:rsidRPr="009B7265">
              <w:rPr>
                <w:rFonts w:ascii="Times New Roman" w:hAnsi="Times New Roman" w:cs="Times New Roman"/>
                <w:b/>
                <w:sz w:val="20"/>
                <w:szCs w:val="20"/>
              </w:rPr>
              <w:t>II.2.5) Criterii de atribuire</w:t>
            </w:r>
          </w:p>
          <w:p w14:paraId="41431739" w14:textId="77777777" w:rsidR="00E86E36" w:rsidRPr="009B7265" w:rsidRDefault="00E86E36"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Criteriile de mai jos</w:t>
            </w:r>
          </w:p>
          <w:p w14:paraId="45DEBFEC" w14:textId="1DF53952" w:rsidR="00E86E36" w:rsidRPr="009B7265" w:rsidRDefault="00342F1C" w:rsidP="00DC6CE5">
            <w:pPr>
              <w:ind w:left="596"/>
              <w:contextualSpacing/>
              <w:jc w:val="both"/>
              <w:rPr>
                <w:rFonts w:ascii="Times New Roman" w:hAnsi="Times New Roman" w:cs="Times New Roman"/>
                <w:sz w:val="20"/>
                <w:szCs w:val="20"/>
              </w:rPr>
            </w:pPr>
            <w:r w:rsidRPr="009B7265">
              <w:rPr>
                <w:rFonts w:ascii="Times New Roman" w:hAnsi="Times New Roman" w:cs="Times New Roman"/>
                <w:sz w:val="20"/>
                <w:szCs w:val="20"/>
              </w:rPr>
              <w:t>x</w:t>
            </w:r>
            <w:r w:rsidR="00E86E36" w:rsidRPr="009B7265">
              <w:rPr>
                <w:rFonts w:ascii="Times New Roman" w:hAnsi="Times New Roman" w:cs="Times New Roman"/>
                <w:sz w:val="20"/>
                <w:szCs w:val="20"/>
              </w:rPr>
              <w:t xml:space="preserve"> Criteriul privind calitatea  </w:t>
            </w:r>
            <w:r w:rsidR="00C23BE8" w:rsidRPr="009B7265">
              <w:rPr>
                <w:rFonts w:ascii="Times New Roman" w:hAnsi="Times New Roman" w:cs="Times New Roman"/>
                <w:sz w:val="20"/>
                <w:szCs w:val="20"/>
              </w:rPr>
              <w:t xml:space="preserve">(cel mai bun raport calitate-preț/cel mai bun raport calitate-cost) </w:t>
            </w:r>
            <w:r w:rsidR="00E86E36" w:rsidRPr="009B7265">
              <w:rPr>
                <w:rFonts w:ascii="Times New Roman" w:hAnsi="Times New Roman" w:cs="Times New Roman"/>
                <w:sz w:val="20"/>
                <w:szCs w:val="20"/>
              </w:rPr>
              <w:t>- Nume: / Pondere:</w:t>
            </w:r>
          </w:p>
          <w:p w14:paraId="0D758EE3" w14:textId="49BA95E4" w:rsidR="00E86E36" w:rsidRPr="009B7265" w:rsidRDefault="00E86E36" w:rsidP="00DC6CE5">
            <w:pPr>
              <w:ind w:left="596"/>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Criteriul privind costul </w:t>
            </w:r>
            <w:r w:rsidR="00C23BE8" w:rsidRPr="009B7265">
              <w:rPr>
                <w:rFonts w:ascii="Times New Roman" w:hAnsi="Times New Roman" w:cs="Times New Roman"/>
                <w:sz w:val="20"/>
                <w:szCs w:val="20"/>
              </w:rPr>
              <w:t xml:space="preserve">(costul cel mai scăzut) </w:t>
            </w:r>
            <w:r w:rsidRPr="009B7265">
              <w:rPr>
                <w:rFonts w:ascii="Times New Roman" w:hAnsi="Times New Roman" w:cs="Times New Roman"/>
                <w:sz w:val="20"/>
                <w:szCs w:val="20"/>
              </w:rPr>
              <w:t>- Nume: / Pondere:</w:t>
            </w:r>
          </w:p>
          <w:p w14:paraId="71F75F3F" w14:textId="6A05BF93" w:rsidR="00E86E36" w:rsidRPr="009B7265" w:rsidRDefault="00E86E36" w:rsidP="00DC6CE5">
            <w:pPr>
              <w:ind w:left="596"/>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w:t>
            </w:r>
            <w:r w:rsidR="00C23BE8" w:rsidRPr="009B7265">
              <w:rPr>
                <w:rFonts w:ascii="Times New Roman" w:hAnsi="Times New Roman" w:cs="Times New Roman"/>
                <w:sz w:val="20"/>
                <w:szCs w:val="20"/>
              </w:rPr>
              <w:t>Criteriul privind p</w:t>
            </w:r>
            <w:r w:rsidRPr="009B7265">
              <w:rPr>
                <w:rFonts w:ascii="Times New Roman" w:hAnsi="Times New Roman" w:cs="Times New Roman"/>
                <w:sz w:val="20"/>
                <w:szCs w:val="20"/>
              </w:rPr>
              <w:t xml:space="preserve">rețul </w:t>
            </w:r>
            <w:r w:rsidR="00C23BE8" w:rsidRPr="009B7265">
              <w:rPr>
                <w:rFonts w:ascii="Times New Roman" w:hAnsi="Times New Roman" w:cs="Times New Roman"/>
                <w:sz w:val="20"/>
                <w:szCs w:val="20"/>
              </w:rPr>
              <w:t xml:space="preserve">(prețul cel mai scăzut) </w:t>
            </w:r>
            <w:r w:rsidRPr="009B7265">
              <w:rPr>
                <w:rFonts w:ascii="Times New Roman" w:hAnsi="Times New Roman" w:cs="Times New Roman"/>
                <w:sz w:val="20"/>
                <w:szCs w:val="20"/>
              </w:rPr>
              <w:t>- Pondere:</w:t>
            </w:r>
          </w:p>
          <w:p w14:paraId="3A0DEA59" w14:textId="77777777" w:rsidR="00E86E36" w:rsidRPr="009B7265" w:rsidRDefault="00E86E36" w:rsidP="00DC6CE5">
            <w:pPr>
              <w:ind w:left="29"/>
              <w:contextualSpacing/>
              <w:jc w:val="both"/>
              <w:rPr>
                <w:rFonts w:ascii="Times New Roman" w:hAnsi="Times New Roman" w:cs="Times New Roman"/>
                <w:sz w:val="20"/>
                <w:szCs w:val="20"/>
              </w:rPr>
            </w:pPr>
            <w:r w:rsidRPr="009B7265">
              <w:rPr>
                <w:rFonts w:ascii="Times New Roman" w:hAnsi="Times New Roman" w:cs="Times New Roman"/>
                <w:sz w:val="20"/>
                <w:szCs w:val="20"/>
              </w:rPr>
              <w:t>○ Prețul nu este singur criteriu de atribuire și toate criteriile sunt enunțate numai în documentele achiziției</w:t>
            </w:r>
          </w:p>
          <w:p w14:paraId="5571FC3E" w14:textId="77777777" w:rsidR="00342F1C" w:rsidRPr="009B7265" w:rsidRDefault="00342F1C" w:rsidP="00DC6CE5">
            <w:pPr>
              <w:widowControl w:val="0"/>
              <w:suppressAutoHyphens/>
              <w:autoSpaceDE w:val="0"/>
              <w:contextualSpacing/>
              <w:jc w:val="both"/>
              <w:rPr>
                <w:rFonts w:ascii="Times New Roman" w:hAnsi="Times New Roman" w:cs="Times New Roman"/>
                <w:b/>
                <w:bCs/>
                <w:noProof/>
                <w:kern w:val="1"/>
                <w:sz w:val="20"/>
                <w:szCs w:val="20"/>
                <w:lang w:val="fi-FI" w:eastAsia="ar-SA"/>
              </w:rPr>
            </w:pPr>
            <w:r w:rsidRPr="009B7265">
              <w:rPr>
                <w:rFonts w:ascii="Times New Roman" w:hAnsi="Times New Roman" w:cs="Times New Roman"/>
                <w:b/>
                <w:bCs/>
                <w:noProof/>
                <w:kern w:val="1"/>
                <w:sz w:val="20"/>
                <w:szCs w:val="20"/>
                <w:lang w:val="fi-FI" w:eastAsia="ar-SA"/>
              </w:rPr>
              <w:t>Factori de evaluare/subfactori de evaluare stabiliți sunt:</w:t>
            </w:r>
          </w:p>
          <w:p w14:paraId="10E6C040" w14:textId="77777777" w:rsidR="00342F1C" w:rsidRPr="009B7265" w:rsidRDefault="00342F1C" w:rsidP="00DC6CE5">
            <w:pPr>
              <w:widowControl w:val="0"/>
              <w:suppressAutoHyphens/>
              <w:autoSpaceDE w:val="0"/>
              <w:contextualSpacing/>
              <w:jc w:val="both"/>
              <w:rPr>
                <w:rFonts w:ascii="Times New Roman" w:hAnsi="Times New Roman" w:cs="Times New Roman"/>
                <w:b/>
                <w:bCs/>
                <w:noProof/>
                <w:kern w:val="1"/>
                <w:sz w:val="20"/>
                <w:szCs w:val="20"/>
                <w:lang w:val="fi-FI" w:eastAsia="ar-SA"/>
              </w:rPr>
            </w:pPr>
          </w:p>
          <w:p w14:paraId="7D785A1D" w14:textId="77777777" w:rsidR="00AF4F3A" w:rsidRPr="009B7265" w:rsidRDefault="00342F1C" w:rsidP="00DC6CE5">
            <w:pPr>
              <w:widowControl w:val="0"/>
              <w:suppressAutoHyphens/>
              <w:autoSpaceDE w:val="0"/>
              <w:contextualSpacing/>
              <w:jc w:val="both"/>
              <w:rPr>
                <w:rFonts w:ascii="Times New Roman" w:hAnsi="Times New Roman" w:cs="Times New Roman"/>
                <w:b/>
                <w:bCs/>
                <w:noProof/>
                <w:kern w:val="1"/>
                <w:sz w:val="20"/>
                <w:szCs w:val="20"/>
                <w:lang w:val="fi-FI" w:eastAsia="ar-SA"/>
              </w:rPr>
            </w:pPr>
            <w:r w:rsidRPr="009B7265">
              <w:rPr>
                <w:rFonts w:ascii="Times New Roman" w:hAnsi="Times New Roman" w:cs="Times New Roman"/>
                <w:b/>
                <w:bCs/>
                <w:noProof/>
                <w:kern w:val="1"/>
                <w:sz w:val="20"/>
                <w:szCs w:val="20"/>
                <w:lang w:val="fi-FI" w:eastAsia="ar-SA"/>
              </w:rPr>
              <w:t xml:space="preserve">1. </w:t>
            </w:r>
            <w:r w:rsidR="00AF4F3A" w:rsidRPr="009B7265">
              <w:rPr>
                <w:rFonts w:ascii="Times New Roman" w:hAnsi="Times New Roman" w:cs="Times New Roman"/>
                <w:b/>
                <w:bCs/>
                <w:noProof/>
                <w:kern w:val="1"/>
                <w:sz w:val="20"/>
                <w:szCs w:val="20"/>
                <w:lang w:val="fi-FI" w:eastAsia="ar-SA"/>
              </w:rPr>
              <w:t>Prețul ofertei – pondere 90 puncte</w:t>
            </w:r>
          </w:p>
          <w:p w14:paraId="0D26062C" w14:textId="77777777" w:rsidR="00AF4F3A" w:rsidRPr="009B7265" w:rsidRDefault="00AF4F3A" w:rsidP="00DC6CE5">
            <w:pPr>
              <w:widowControl w:val="0"/>
              <w:suppressAutoHyphens/>
              <w:autoSpaceDE w:val="0"/>
              <w:contextualSpacing/>
              <w:jc w:val="both"/>
              <w:rPr>
                <w:rFonts w:ascii="Times New Roman" w:hAnsi="Times New Roman" w:cs="Times New Roman"/>
                <w:noProof/>
                <w:kern w:val="1"/>
                <w:sz w:val="20"/>
                <w:szCs w:val="20"/>
                <w:lang w:val="fi-FI" w:eastAsia="ar-SA"/>
              </w:rPr>
            </w:pPr>
            <w:r w:rsidRPr="009B7265">
              <w:rPr>
                <w:rFonts w:ascii="Times New Roman" w:hAnsi="Times New Roman" w:cs="Times New Roman"/>
                <w:noProof/>
                <w:kern w:val="1"/>
                <w:sz w:val="20"/>
                <w:szCs w:val="20"/>
                <w:lang w:val="fi-FI" w:eastAsia="ar-SA"/>
              </w:rPr>
              <w:t>Descriere: Componenta financiară – valoarea totala a contractului nu va depăși valoarea estimata a acestuia.</w:t>
            </w:r>
          </w:p>
          <w:p w14:paraId="26BDB419" w14:textId="06C76E60" w:rsidR="00342F1C" w:rsidRPr="009B7265" w:rsidRDefault="00AF4F3A" w:rsidP="00DC6CE5">
            <w:pPr>
              <w:widowControl w:val="0"/>
              <w:autoSpaceDE w:val="0"/>
              <w:contextualSpacing/>
              <w:jc w:val="both"/>
              <w:rPr>
                <w:rFonts w:ascii="Times New Roman" w:hAnsi="Times New Roman" w:cs="Times New Roman"/>
                <w:sz w:val="20"/>
                <w:szCs w:val="20"/>
              </w:rPr>
            </w:pPr>
            <w:r w:rsidRPr="009B7265">
              <w:rPr>
                <w:rFonts w:ascii="Times New Roman" w:hAnsi="Times New Roman" w:cs="Times New Roman"/>
                <w:noProof/>
                <w:kern w:val="1"/>
                <w:sz w:val="20"/>
                <w:szCs w:val="20"/>
                <w:lang w:val="fi-FI" w:eastAsia="ar-SA"/>
              </w:rPr>
              <w:t>Algoritm de calcul: Oferta admisibilă cu prețul cel mai mic obține 90 de puncte, iar punctajul celorlalte oferte admisibile se calculează folosind relația: Punctaj = 90 x (prețul ofertei cu prețul cel mai mic/prețul ofertei luate în calcul).</w:t>
            </w:r>
          </w:p>
          <w:p w14:paraId="465818EC" w14:textId="77777777" w:rsidR="00AF4F3A" w:rsidRPr="009B7265" w:rsidRDefault="00342F1C" w:rsidP="00DC6CE5">
            <w:pPr>
              <w:widowControl w:val="0"/>
              <w:autoSpaceDE w:val="0"/>
              <w:contextualSpacing/>
              <w:jc w:val="both"/>
              <w:rPr>
                <w:rFonts w:ascii="Times New Roman" w:hAnsi="Times New Roman" w:cs="Times New Roman"/>
                <w:b/>
                <w:sz w:val="20"/>
                <w:szCs w:val="20"/>
              </w:rPr>
            </w:pPr>
            <w:r w:rsidRPr="009B7265">
              <w:rPr>
                <w:rFonts w:ascii="Times New Roman" w:hAnsi="Times New Roman" w:cs="Times New Roman"/>
                <w:b/>
                <w:bCs/>
                <w:sz w:val="20"/>
                <w:szCs w:val="20"/>
              </w:rPr>
              <w:t xml:space="preserve">2. </w:t>
            </w:r>
            <w:r w:rsidR="00AF4F3A" w:rsidRPr="009B7265">
              <w:rPr>
                <w:rFonts w:ascii="Times New Roman" w:hAnsi="Times New Roman" w:cs="Times New Roman"/>
                <w:b/>
                <w:sz w:val="20"/>
                <w:szCs w:val="20"/>
              </w:rPr>
              <w:t>Gradul de adecvare al graficului general de realizare a investiției publice [durata, succesiunea activităților și inter-relaționarea acestora, inclusiv drumul critic, identificarea punctelor cheie de control (jaloanelor)], resursele alocate pentru realizarea activităților în cadrul Contractului prin raportare la metodologia de executare a lucrărilor 10 puncte.</w:t>
            </w:r>
          </w:p>
          <w:p w14:paraId="3CC0E203" w14:textId="77777777" w:rsidR="00AF4F3A" w:rsidRPr="009B7265" w:rsidRDefault="00AF4F3A" w:rsidP="00DC6CE5">
            <w:pPr>
              <w:widowControl w:val="0"/>
              <w:autoSpaceDE w:val="0"/>
              <w:contextualSpacing/>
              <w:jc w:val="both"/>
              <w:rPr>
                <w:rFonts w:ascii="Times New Roman" w:hAnsi="Times New Roman" w:cs="Times New Roman"/>
                <w:b/>
                <w:sz w:val="20"/>
                <w:szCs w:val="20"/>
              </w:rPr>
            </w:pPr>
          </w:p>
          <w:p w14:paraId="097BA6EC" w14:textId="4EAB637B" w:rsidR="00342F1C" w:rsidRPr="009B7265" w:rsidRDefault="00AF4F3A" w:rsidP="00DC6CE5">
            <w:pPr>
              <w:autoSpaceDE w:val="0"/>
              <w:autoSpaceDN w:val="0"/>
              <w:adjustRightInd w:val="0"/>
              <w:contextualSpacing/>
              <w:jc w:val="both"/>
              <w:rPr>
                <w:rFonts w:ascii="Times New Roman" w:hAnsi="Times New Roman" w:cs="Times New Roman"/>
                <w:bCs/>
                <w:noProof/>
                <w:kern w:val="1"/>
                <w:sz w:val="20"/>
                <w:szCs w:val="20"/>
                <w:lang w:val="fi-FI" w:eastAsia="ar-SA"/>
              </w:rPr>
            </w:pPr>
            <w:r w:rsidRPr="009B7265">
              <w:rPr>
                <w:rFonts w:ascii="Times New Roman" w:hAnsi="Times New Roman" w:cs="Times New Roman"/>
                <w:bCs/>
                <w:sz w:val="20"/>
                <w:szCs w:val="20"/>
              </w:rPr>
              <w:t>Păstrând ponderea de 10% pentru acest factor și raportul (proporționalitatea) de punctaj propus de autoritatea contractantă (5-7-10), fiecare cerință, devenită subfactor de evaluare să fie punctată astfel: 5/6=0,83 puncte pentru cerințele îndeplinite satisfacător, 7/6=1,16 puncte pentru cerințele îndeplinite adecvat, 10/6=1,66 puncte pentru cerințele îndeplinite foarte bine</w:t>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184"/>
              <w:gridCol w:w="950"/>
              <w:gridCol w:w="1327"/>
              <w:gridCol w:w="1394"/>
            </w:tblGrid>
            <w:tr w:rsidR="009B7265" w:rsidRPr="009B7265" w14:paraId="2FAD15FE" w14:textId="77777777" w:rsidTr="00CB4C13">
              <w:trPr>
                <w:tblHeader/>
                <w:jc w:val="center"/>
              </w:trPr>
              <w:tc>
                <w:tcPr>
                  <w:tcW w:w="644" w:type="pct"/>
                  <w:shd w:val="clear" w:color="auto" w:fill="D9E2F3"/>
                  <w:vAlign w:val="center"/>
                </w:tcPr>
                <w:p w14:paraId="67BF69A0" w14:textId="77777777" w:rsidR="00342F1C" w:rsidRPr="009B7265" w:rsidRDefault="00342F1C" w:rsidP="00DC6CE5">
                  <w:pPr>
                    <w:spacing w:after="0" w:line="240" w:lineRule="auto"/>
                    <w:ind w:left="210"/>
                    <w:contextualSpacing/>
                    <w:jc w:val="both"/>
                    <w:rPr>
                      <w:rFonts w:ascii="Times New Roman" w:hAnsi="Times New Roman" w:cs="Times New Roman"/>
                      <w:b/>
                      <w:sz w:val="20"/>
                      <w:szCs w:val="20"/>
                    </w:rPr>
                  </w:pPr>
                  <w:r w:rsidRPr="009B7265">
                    <w:rPr>
                      <w:rFonts w:ascii="Times New Roman" w:eastAsia="Calibri" w:hAnsi="Times New Roman" w:cs="Times New Roman"/>
                      <w:b/>
                      <w:sz w:val="20"/>
                      <w:szCs w:val="20"/>
                    </w:rPr>
                    <w:t>Calificativ</w:t>
                  </w:r>
                </w:p>
              </w:tc>
              <w:tc>
                <w:tcPr>
                  <w:tcW w:w="2545" w:type="pct"/>
                  <w:shd w:val="clear" w:color="auto" w:fill="D9E2F3"/>
                  <w:vAlign w:val="center"/>
                </w:tcPr>
                <w:p w14:paraId="3543FA50" w14:textId="77777777" w:rsidR="00342F1C" w:rsidRPr="009B7265" w:rsidRDefault="00342F1C" w:rsidP="00DC6CE5">
                  <w:pPr>
                    <w:spacing w:after="0" w:line="240" w:lineRule="auto"/>
                    <w:contextualSpacing/>
                    <w:jc w:val="both"/>
                    <w:rPr>
                      <w:rFonts w:ascii="Times New Roman" w:hAnsi="Times New Roman" w:cs="Times New Roman"/>
                      <w:b/>
                      <w:sz w:val="20"/>
                      <w:szCs w:val="20"/>
                    </w:rPr>
                  </w:pPr>
                  <w:r w:rsidRPr="009B7265">
                    <w:rPr>
                      <w:rFonts w:ascii="Times New Roman" w:eastAsia="Calibri" w:hAnsi="Times New Roman" w:cs="Times New Roman"/>
                      <w:b/>
                      <w:sz w:val="20"/>
                      <w:szCs w:val="20"/>
                    </w:rPr>
                    <w:t>Raționament utilizat în evaluarea conținutului ofertelor</w:t>
                  </w:r>
                </w:p>
              </w:tc>
              <w:tc>
                <w:tcPr>
                  <w:tcW w:w="487" w:type="pct"/>
                  <w:shd w:val="clear" w:color="auto" w:fill="D9E2F3"/>
                  <w:vAlign w:val="center"/>
                </w:tcPr>
                <w:p w14:paraId="0BE6AB14" w14:textId="77777777" w:rsidR="00342F1C" w:rsidRPr="009B7265" w:rsidRDefault="00342F1C" w:rsidP="00DC6CE5">
                  <w:pPr>
                    <w:spacing w:after="0" w:line="240" w:lineRule="auto"/>
                    <w:contextualSpacing/>
                    <w:jc w:val="both"/>
                    <w:rPr>
                      <w:rFonts w:ascii="Times New Roman" w:hAnsi="Times New Roman" w:cs="Times New Roman"/>
                      <w:b/>
                      <w:sz w:val="20"/>
                      <w:szCs w:val="20"/>
                    </w:rPr>
                  </w:pPr>
                  <w:r w:rsidRPr="009B7265">
                    <w:rPr>
                      <w:rFonts w:ascii="Times New Roman" w:hAnsi="Times New Roman" w:cs="Times New Roman"/>
                      <w:b/>
                      <w:sz w:val="20"/>
                      <w:szCs w:val="20"/>
                    </w:rPr>
                    <w:t>Punctaj</w:t>
                  </w:r>
                </w:p>
              </w:tc>
              <w:tc>
                <w:tcPr>
                  <w:tcW w:w="645" w:type="pct"/>
                  <w:shd w:val="clear" w:color="auto" w:fill="D9E2F3"/>
                  <w:vAlign w:val="center"/>
                </w:tcPr>
                <w:p w14:paraId="2B3DD3D7" w14:textId="77777777" w:rsidR="00342F1C" w:rsidRPr="009B7265" w:rsidRDefault="00342F1C" w:rsidP="00DC6CE5">
                  <w:pPr>
                    <w:spacing w:after="0" w:line="240" w:lineRule="auto"/>
                    <w:contextualSpacing/>
                    <w:rPr>
                      <w:rFonts w:ascii="Times New Roman" w:eastAsia="Calibri" w:hAnsi="Times New Roman" w:cs="Times New Roman"/>
                      <w:b/>
                      <w:sz w:val="20"/>
                      <w:szCs w:val="20"/>
                    </w:rPr>
                  </w:pPr>
                  <w:r w:rsidRPr="009B7265">
                    <w:rPr>
                      <w:rFonts w:ascii="Times New Roman" w:eastAsia="Calibri" w:hAnsi="Times New Roman" w:cs="Times New Roman"/>
                      <w:b/>
                      <w:sz w:val="20"/>
                      <w:szCs w:val="20"/>
                    </w:rPr>
                    <w:t>Informațiile analizate în oferta</w:t>
                  </w:r>
                </w:p>
              </w:tc>
              <w:tc>
                <w:tcPr>
                  <w:tcW w:w="678" w:type="pct"/>
                  <w:shd w:val="clear" w:color="auto" w:fill="D9E2F3"/>
                  <w:vAlign w:val="center"/>
                </w:tcPr>
                <w:p w14:paraId="7DF4B412" w14:textId="77777777" w:rsidR="00342F1C" w:rsidRPr="009B7265" w:rsidRDefault="00342F1C" w:rsidP="00DC6CE5">
                  <w:pPr>
                    <w:spacing w:after="0" w:line="240" w:lineRule="auto"/>
                    <w:contextualSpacing/>
                    <w:rPr>
                      <w:rFonts w:ascii="Times New Roman" w:eastAsia="Calibri" w:hAnsi="Times New Roman" w:cs="Times New Roman"/>
                      <w:b/>
                      <w:sz w:val="20"/>
                      <w:szCs w:val="20"/>
                    </w:rPr>
                  </w:pPr>
                  <w:r w:rsidRPr="009B7265">
                    <w:rPr>
                      <w:rFonts w:ascii="Times New Roman" w:eastAsia="Calibri" w:hAnsi="Times New Roman" w:cs="Times New Roman"/>
                      <w:b/>
                      <w:sz w:val="20"/>
                      <w:szCs w:val="20"/>
                    </w:rPr>
                    <w:t>Informații relevante în Caietul de sarcini</w:t>
                  </w:r>
                </w:p>
              </w:tc>
            </w:tr>
            <w:tr w:rsidR="009B7265" w:rsidRPr="009B7265" w14:paraId="4F903C0F" w14:textId="77777777" w:rsidTr="00CB4C13">
              <w:trPr>
                <w:jc w:val="center"/>
              </w:trPr>
              <w:tc>
                <w:tcPr>
                  <w:tcW w:w="644" w:type="pct"/>
                </w:tcPr>
                <w:p w14:paraId="1E318A11"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Acceptabil/</w:t>
                  </w:r>
                </w:p>
                <w:p w14:paraId="6D8A6B04"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Satisfăcător/</w:t>
                  </w:r>
                </w:p>
                <w:p w14:paraId="7238652C"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Parțial relevant</w:t>
                  </w:r>
                </w:p>
              </w:tc>
              <w:tc>
                <w:tcPr>
                  <w:tcW w:w="2545" w:type="pct"/>
                </w:tcPr>
                <w:p w14:paraId="788E3866" w14:textId="77777777" w:rsidR="00342F1C" w:rsidRPr="009B7265" w:rsidRDefault="00342F1C" w:rsidP="00DC6CE5">
                  <w:pPr>
                    <w:numPr>
                      <w:ilvl w:val="0"/>
                      <w:numId w:val="9"/>
                    </w:numPr>
                    <w:spacing w:after="0" w:line="240" w:lineRule="auto"/>
                    <w:ind w:left="331"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toate activitățile principale sunt incluse în graficul general de realizare a investiției publice, însă acestea nu sunt detaliate în subactivități, graficul general de realizare a investiției publice neputând fi utilizat așa cum este prezentat ca dată de intrare în cadrul ședințelor de monitorizare a progresului activităților</w:t>
                  </w:r>
                </w:p>
                <w:p w14:paraId="0316A528" w14:textId="77777777" w:rsidR="00342F1C" w:rsidRPr="009B7265" w:rsidRDefault="00342F1C" w:rsidP="00DC6CE5">
                  <w:pPr>
                    <w:numPr>
                      <w:ilvl w:val="0"/>
                      <w:numId w:val="9"/>
                    </w:numPr>
                    <w:spacing w:after="0" w:line="240" w:lineRule="auto"/>
                    <w:ind w:left="331"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succesiunea activităților în graficul general de realizare a investiției publice este stabilită într-un mod foarte puțin adecvat prin raportare la metodologia de execuţie a lucrărilor</w:t>
                  </w:r>
                </w:p>
                <w:p w14:paraId="16CAAC00" w14:textId="77777777" w:rsidR="00342F1C" w:rsidRPr="009B7265" w:rsidRDefault="00342F1C" w:rsidP="00DC6CE5">
                  <w:pPr>
                    <w:numPr>
                      <w:ilvl w:val="0"/>
                      <w:numId w:val="9"/>
                    </w:numPr>
                    <w:spacing w:after="0" w:line="240" w:lineRule="auto"/>
                    <w:ind w:left="331"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durata activităților și perioadele de derulare a acestora sunt în mică măsură corespunzătoare complexității activităților (modalitate de realizare, date de intrare, date de ieșire)</w:t>
                  </w:r>
                </w:p>
                <w:p w14:paraId="783545E1" w14:textId="77777777" w:rsidR="00342F1C" w:rsidRPr="009B7265" w:rsidRDefault="00342F1C" w:rsidP="00DC6CE5">
                  <w:pPr>
                    <w:numPr>
                      <w:ilvl w:val="0"/>
                      <w:numId w:val="9"/>
                    </w:numPr>
                    <w:spacing w:after="0" w:line="240" w:lineRule="auto"/>
                    <w:ind w:left="331"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punctele de reper (jaloanele) sunt identificate, dar nu sunt relevante prin de raportare la lucrările ce trebuie executate și metodologia de execuție a acestora;</w:t>
                  </w:r>
                </w:p>
                <w:p w14:paraId="2EC6BD54" w14:textId="77777777" w:rsidR="00342F1C" w:rsidRPr="009B7265" w:rsidRDefault="00342F1C" w:rsidP="00DC6CE5">
                  <w:pPr>
                    <w:numPr>
                      <w:ilvl w:val="0"/>
                      <w:numId w:val="9"/>
                    </w:numPr>
                    <w:spacing w:after="0" w:line="240" w:lineRule="auto"/>
                    <w:ind w:left="331"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există neconcordanțe minore între graficul general de realizare a investiției publice, resursele utilizate, fluxul de numerar (propunerea financiară) şi metodologia de execuție;</w:t>
                  </w:r>
                </w:p>
                <w:p w14:paraId="195A0B45" w14:textId="77777777" w:rsidR="00342F1C" w:rsidRPr="009B7265" w:rsidRDefault="00342F1C" w:rsidP="00DC6CE5">
                  <w:pPr>
                    <w:numPr>
                      <w:ilvl w:val="0"/>
                      <w:numId w:val="9"/>
                    </w:numPr>
                    <w:spacing w:after="0" w:line="240" w:lineRule="auto"/>
                    <w:ind w:left="331" w:hanging="180"/>
                    <w:contextualSpacing/>
                    <w:jc w:val="both"/>
                    <w:rPr>
                      <w:rFonts w:ascii="Times New Roman" w:hAnsi="Times New Roman" w:cs="Times New Roman"/>
                      <w:sz w:val="20"/>
                      <w:szCs w:val="20"/>
                    </w:rPr>
                  </w:pPr>
                  <w:r w:rsidRPr="009B7265">
                    <w:rPr>
                      <w:rFonts w:ascii="Times New Roman" w:eastAsia="Calibri" w:hAnsi="Times New Roman" w:cs="Times New Roman"/>
                      <w:sz w:val="20"/>
                      <w:szCs w:val="20"/>
                    </w:rPr>
                    <w:t>drumul critic nu corespunde metodologiei de execuţie a lucrărilor prezentate</w:t>
                  </w:r>
                </w:p>
              </w:tc>
              <w:tc>
                <w:tcPr>
                  <w:tcW w:w="487" w:type="pct"/>
                </w:tcPr>
                <w:p w14:paraId="2E6F220C" w14:textId="77777777" w:rsidR="00342F1C" w:rsidRPr="009B7265" w:rsidRDefault="00342F1C" w:rsidP="00DC6CE5">
                  <w:pPr>
                    <w:spacing w:after="0" w:line="240" w:lineRule="auto"/>
                    <w:contextualSpacing/>
                    <w:jc w:val="both"/>
                    <w:rPr>
                      <w:rFonts w:ascii="Times New Roman" w:eastAsia="Calibri" w:hAnsi="Times New Roman" w:cs="Times New Roman"/>
                      <w:b/>
                      <w:sz w:val="20"/>
                      <w:szCs w:val="20"/>
                    </w:rPr>
                  </w:pPr>
                </w:p>
                <w:p w14:paraId="7879E0E0" w14:textId="77777777" w:rsidR="00342F1C" w:rsidRPr="009B7265" w:rsidRDefault="00342F1C" w:rsidP="00DC6CE5">
                  <w:pPr>
                    <w:spacing w:after="0" w:line="240" w:lineRule="auto"/>
                    <w:contextualSpacing/>
                    <w:jc w:val="both"/>
                    <w:rPr>
                      <w:rFonts w:ascii="Times New Roman" w:eastAsia="Calibri" w:hAnsi="Times New Roman" w:cs="Times New Roman"/>
                      <w:b/>
                      <w:sz w:val="20"/>
                      <w:szCs w:val="20"/>
                    </w:rPr>
                  </w:pPr>
                </w:p>
                <w:p w14:paraId="76B4EC41" w14:textId="77777777" w:rsidR="00342F1C" w:rsidRPr="009B7265" w:rsidRDefault="00342F1C" w:rsidP="00DC6CE5">
                  <w:pPr>
                    <w:spacing w:after="0" w:line="240" w:lineRule="auto"/>
                    <w:contextualSpacing/>
                    <w:jc w:val="both"/>
                    <w:rPr>
                      <w:rFonts w:ascii="Times New Roman" w:eastAsia="Calibri" w:hAnsi="Times New Roman" w:cs="Times New Roman"/>
                      <w:b/>
                      <w:sz w:val="20"/>
                      <w:szCs w:val="20"/>
                    </w:rPr>
                  </w:pPr>
                  <w:r w:rsidRPr="009B7265">
                    <w:rPr>
                      <w:rFonts w:ascii="Times New Roman" w:eastAsia="Calibri" w:hAnsi="Times New Roman" w:cs="Times New Roman"/>
                      <w:b/>
                      <w:sz w:val="20"/>
                      <w:szCs w:val="20"/>
                    </w:rPr>
                    <w:t xml:space="preserve">5 puncte </w:t>
                  </w:r>
                </w:p>
              </w:tc>
              <w:tc>
                <w:tcPr>
                  <w:tcW w:w="645" w:type="pct"/>
                </w:tcPr>
                <w:p w14:paraId="15D8759F"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Informațiile prezentate în propunerea tehnică la </w:t>
                  </w:r>
                </w:p>
                <w:p w14:paraId="2C251FEB"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“Metodologia de executare a lucrărilor</w:t>
                  </w:r>
                </w:p>
                <w:p w14:paraId="274634F8"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Graficul general de realizare a investiției publice în cadrul Contractului / graficul general de realizare a lucrărilor</w:t>
                  </w:r>
                </w:p>
                <w:p w14:paraId="4B6AC338"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p>
                <w:p w14:paraId="59D00CDD"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Fluxul de numerar din propunerea financiară</w:t>
                  </w:r>
                </w:p>
              </w:tc>
              <w:tc>
                <w:tcPr>
                  <w:tcW w:w="678" w:type="pct"/>
                </w:tcPr>
                <w:p w14:paraId="1D8A6C1B"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informații</w:t>
                  </w:r>
                </w:p>
                <w:p w14:paraId="6261F7E9"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privind activitățile</w:t>
                  </w:r>
                </w:p>
                <w:p w14:paraId="63709702"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solicitate prin</w:t>
                  </w:r>
                </w:p>
                <w:p w14:paraId="715E211C"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prezentul Caiet de Sarcini</w:t>
                  </w:r>
                </w:p>
                <w:p w14:paraId="432912E7"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p>
                <w:p w14:paraId="19C6F8C5"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Rezumatul informațiilor și cerințele tehnice</w:t>
                  </w:r>
                </w:p>
                <w:p w14:paraId="014250AC"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p>
                <w:p w14:paraId="681D8550"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Cerințe specifice de managementul Contractului</w:t>
                  </w:r>
                </w:p>
              </w:tc>
            </w:tr>
            <w:tr w:rsidR="009B7265" w:rsidRPr="009B7265" w14:paraId="1691671A" w14:textId="77777777" w:rsidTr="00CB4C13">
              <w:trPr>
                <w:jc w:val="center"/>
              </w:trPr>
              <w:tc>
                <w:tcPr>
                  <w:tcW w:w="644" w:type="pct"/>
                </w:tcPr>
                <w:p w14:paraId="6B5CE343"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Bine/ Adecvat</w:t>
                  </w:r>
                </w:p>
              </w:tc>
              <w:tc>
                <w:tcPr>
                  <w:tcW w:w="2545" w:type="pct"/>
                </w:tcPr>
                <w:p w14:paraId="65877D0B" w14:textId="77777777" w:rsidR="00342F1C" w:rsidRPr="009B7265" w:rsidRDefault="00342F1C" w:rsidP="00DC6CE5">
                  <w:pPr>
                    <w:numPr>
                      <w:ilvl w:val="0"/>
                      <w:numId w:val="10"/>
                    </w:numPr>
                    <w:spacing w:after="0" w:line="240" w:lineRule="auto"/>
                    <w:ind w:left="346"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toate activitățile principale sunt incluse în graficul general de realizare a investiției publice,  sunt detaliate în subactivități, graficul general de realizare a investiției publice poate fi utilizat așa cum este prezentat ca dată de intrare în cadrul ședințelor de monitorizare a progresului în cadrul Contractului;</w:t>
                  </w:r>
                </w:p>
                <w:p w14:paraId="19D50B01"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succesiunea activităților în graficul general de realizare a investiției publice este stabilită cu deviații minore prin raportare la metodologia de execuție a lucrărilor;</w:t>
                  </w:r>
                </w:p>
                <w:p w14:paraId="1D13F072"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lastRenderedPageBreak/>
                    <w:t>durata activităților și perioadele de derulare a acestora sunt corespunzătoare complexității activităților (modalitate de realizare, date de intrare, date de ieșire);</w:t>
                  </w:r>
                </w:p>
                <w:p w14:paraId="20FBF90B"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punctele de reper (jaloanele) sunt identificate corespunzător prin raportare la lucrările ce trebuie executate și metodologia de execuție a acestora; </w:t>
                  </w:r>
                </w:p>
                <w:p w14:paraId="7D8DD43D"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graficul general de realizare a investiției publice, resursele utilizate şi fluxul de numerar (propunerea financiară) sunt corelate cu metodologia de execuţie; </w:t>
                  </w:r>
                </w:p>
                <w:p w14:paraId="45141FAC"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drumul critic este aliniat în mare parte metodologiei de execuţie a lucrărilor prezentate</w:t>
                  </w:r>
                </w:p>
              </w:tc>
              <w:tc>
                <w:tcPr>
                  <w:tcW w:w="487" w:type="pct"/>
                </w:tcPr>
                <w:p w14:paraId="300FD889" w14:textId="038BB938" w:rsidR="00342F1C" w:rsidRPr="009B7265" w:rsidRDefault="00AF4F3A" w:rsidP="00DC6CE5">
                  <w:pPr>
                    <w:spacing w:after="0" w:line="240" w:lineRule="auto"/>
                    <w:contextualSpacing/>
                    <w:jc w:val="both"/>
                    <w:rPr>
                      <w:rFonts w:ascii="Times New Roman" w:eastAsia="Calibri" w:hAnsi="Times New Roman" w:cs="Times New Roman"/>
                      <w:b/>
                      <w:sz w:val="20"/>
                      <w:szCs w:val="20"/>
                    </w:rPr>
                  </w:pPr>
                  <w:r w:rsidRPr="009B7265">
                    <w:rPr>
                      <w:rFonts w:ascii="Times New Roman" w:eastAsia="Calibri" w:hAnsi="Times New Roman" w:cs="Times New Roman"/>
                      <w:b/>
                      <w:sz w:val="20"/>
                      <w:szCs w:val="20"/>
                    </w:rPr>
                    <w:lastRenderedPageBreak/>
                    <w:t>7</w:t>
                  </w:r>
                  <w:r w:rsidR="00E61508">
                    <w:rPr>
                      <w:rFonts w:ascii="Times New Roman" w:eastAsia="Calibri" w:hAnsi="Times New Roman" w:cs="Times New Roman"/>
                      <w:b/>
                      <w:sz w:val="20"/>
                      <w:szCs w:val="20"/>
                    </w:rPr>
                    <w:t xml:space="preserve"> </w:t>
                  </w:r>
                  <w:r w:rsidR="00342F1C" w:rsidRPr="009B7265">
                    <w:rPr>
                      <w:rFonts w:ascii="Times New Roman" w:eastAsia="Calibri" w:hAnsi="Times New Roman" w:cs="Times New Roman"/>
                      <w:b/>
                      <w:sz w:val="20"/>
                      <w:szCs w:val="20"/>
                    </w:rPr>
                    <w:t>puncte</w:t>
                  </w:r>
                </w:p>
              </w:tc>
              <w:tc>
                <w:tcPr>
                  <w:tcW w:w="645" w:type="pct"/>
                  <w:vMerge w:val="restart"/>
                </w:tcPr>
                <w:p w14:paraId="6AF2CB72"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p>
              </w:tc>
              <w:tc>
                <w:tcPr>
                  <w:tcW w:w="670" w:type="pct"/>
                  <w:vMerge w:val="restart"/>
                </w:tcPr>
                <w:p w14:paraId="7F73BFC8" w14:textId="7777777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9B7265" w:rsidRPr="009B7265" w14:paraId="56F56FB9" w14:textId="77777777" w:rsidTr="00CB4C13">
              <w:trPr>
                <w:jc w:val="center"/>
              </w:trPr>
              <w:tc>
                <w:tcPr>
                  <w:tcW w:w="644" w:type="pct"/>
                </w:tcPr>
                <w:p w14:paraId="632D0545"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lastRenderedPageBreak/>
                    <w:t>Foarte bine/ Excepțional</w:t>
                  </w:r>
                </w:p>
              </w:tc>
              <w:tc>
                <w:tcPr>
                  <w:tcW w:w="2545" w:type="pct"/>
                </w:tcPr>
                <w:p w14:paraId="51300414" w14:textId="77777777" w:rsidR="00342F1C" w:rsidRPr="009B7265" w:rsidRDefault="00342F1C" w:rsidP="00DC6CE5">
                  <w:pPr>
                    <w:numPr>
                      <w:ilvl w:val="0"/>
                      <w:numId w:val="11"/>
                    </w:numPr>
                    <w:spacing w:after="0" w:line="240" w:lineRule="auto"/>
                    <w:ind w:left="346"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toate activitățile principale sunt incluse în graficul general de realizare a investiției publice, sunt detaliate în subactivități, graficul general de realizare a investiției publice poate fi utilizat așa cum este prezentat ca dată de intrare în cadrul ședințelor de monitorizare a progresului în cadrul Contractului;</w:t>
                  </w:r>
                </w:p>
                <w:p w14:paraId="3A194F34" w14:textId="77777777" w:rsidR="00342F1C" w:rsidRPr="009B7265" w:rsidRDefault="00342F1C" w:rsidP="00DC6CE5">
                  <w:pPr>
                    <w:numPr>
                      <w:ilvl w:val="0"/>
                      <w:numId w:val="11"/>
                    </w:numPr>
                    <w:spacing w:after="0" w:line="240" w:lineRule="auto"/>
                    <w:ind w:left="346"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succesiunea activităților în graficul general de realizare a investiției publice este foarte bine stabilită prin raportare la metodologia de execuţie a lucrărilor, </w:t>
                  </w:r>
                </w:p>
                <w:p w14:paraId="780052DB"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durata activităților și perioadele de derulare a acestora sunt în totalitate corespunzătoare complexității activităților (modalitate de realizare, date de intrare, date de ieșire);</w:t>
                  </w:r>
                </w:p>
                <w:p w14:paraId="3F779B03"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punctele de reper (jaloanele) sunt identificate corespunzător prin raportare la lucrările ce trebuie executate și metodologia de execuție a acestora; </w:t>
                  </w:r>
                </w:p>
                <w:p w14:paraId="6A829AE1"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graficul general de realizare a investiției publice demonstrează optimizarea utilizării resurselor. Sunt prezentate explicații detaliate iar graficul general de realizare a investiției publice, resursele utilizate şi fluxul de numerar (propunerea financiară) sunt corelate cu metodologia de execuţie. Planificarea activităților permite flexibilitate pentru situații neprevăzute;</w:t>
                  </w:r>
                </w:p>
                <w:p w14:paraId="2F7C8CF2"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drumul critic corespunde în totalitate metodologiei de execuţie a lucrărilor prezentate.</w:t>
                  </w:r>
                </w:p>
              </w:tc>
              <w:tc>
                <w:tcPr>
                  <w:tcW w:w="487" w:type="pct"/>
                </w:tcPr>
                <w:p w14:paraId="5837E645" w14:textId="4486660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b/>
                      <w:sz w:val="20"/>
                      <w:szCs w:val="20"/>
                    </w:rPr>
                  </w:pPr>
                  <w:r w:rsidRPr="009B7265">
                    <w:rPr>
                      <w:rFonts w:ascii="Times New Roman" w:eastAsia="Calibri" w:hAnsi="Times New Roman" w:cs="Times New Roman"/>
                      <w:b/>
                      <w:sz w:val="20"/>
                      <w:szCs w:val="20"/>
                    </w:rPr>
                    <w:t>1</w:t>
                  </w:r>
                  <w:r w:rsidR="00AF4F3A" w:rsidRPr="009B7265">
                    <w:rPr>
                      <w:rFonts w:ascii="Times New Roman" w:eastAsia="Calibri" w:hAnsi="Times New Roman" w:cs="Times New Roman"/>
                      <w:b/>
                      <w:sz w:val="20"/>
                      <w:szCs w:val="20"/>
                    </w:rPr>
                    <w:t>0</w:t>
                  </w:r>
                  <w:r w:rsidRPr="009B7265">
                    <w:rPr>
                      <w:rFonts w:ascii="Times New Roman" w:eastAsia="Calibri" w:hAnsi="Times New Roman" w:cs="Times New Roman"/>
                      <w:b/>
                      <w:sz w:val="20"/>
                      <w:szCs w:val="20"/>
                    </w:rPr>
                    <w:t xml:space="preserve"> puncte</w:t>
                  </w:r>
                </w:p>
              </w:tc>
              <w:tc>
                <w:tcPr>
                  <w:tcW w:w="645" w:type="pct"/>
                  <w:vMerge/>
                </w:tcPr>
                <w:p w14:paraId="7389D468" w14:textId="7777777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sz w:val="20"/>
                      <w:szCs w:val="20"/>
                    </w:rPr>
                  </w:pPr>
                </w:p>
              </w:tc>
              <w:tc>
                <w:tcPr>
                  <w:tcW w:w="670" w:type="pct"/>
                  <w:vMerge/>
                </w:tcPr>
                <w:p w14:paraId="09A696D7" w14:textId="7777777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sz w:val="20"/>
                      <w:szCs w:val="20"/>
                    </w:rPr>
                  </w:pPr>
                </w:p>
              </w:tc>
            </w:tr>
          </w:tbl>
          <w:p w14:paraId="210F6ADB" w14:textId="61716814" w:rsidR="00E86E36" w:rsidRPr="009B7265" w:rsidRDefault="00E86E36" w:rsidP="00DC6CE5">
            <w:pPr>
              <w:ind w:left="29"/>
              <w:contextualSpacing/>
              <w:jc w:val="both"/>
              <w:rPr>
                <w:rFonts w:ascii="Times New Roman" w:hAnsi="Times New Roman" w:cs="Times New Roman"/>
                <w:sz w:val="20"/>
                <w:szCs w:val="20"/>
              </w:rPr>
            </w:pPr>
          </w:p>
        </w:tc>
      </w:tr>
      <w:tr w:rsidR="007A3592" w:rsidRPr="009B7265" w14:paraId="09C9DE1C" w14:textId="77777777" w:rsidTr="00EE6B5A">
        <w:tc>
          <w:tcPr>
            <w:tcW w:w="9628" w:type="dxa"/>
          </w:tcPr>
          <w:p w14:paraId="705C062E"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lastRenderedPageBreak/>
              <w:t xml:space="preserve">Informații necesare în vederea asigurării unei concurențe reale între potențialii ofertanți, precum și evidențierea acelor prevederi/mecanisme care oferă posibilitatea verificării aplicabilității, în termeni reali, atât de către membrii comisiei de evaluare, cât și de potențialii ofertanți, în calitate de participanți la procedura, a acelor avantaje economice și/sau tehnice, cuantificabile și care pot fi urmărite atât în derularea procedurii cât și în executarea contractului: </w:t>
            </w:r>
          </w:p>
          <w:p w14:paraId="1566152A"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a) activități care sunt considerate principale ce vor sta la baza definirea jaloanelor/punctelor critice; </w:t>
            </w:r>
          </w:p>
          <w:p w14:paraId="0846A8E1"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Activitati Principale:</w:t>
            </w:r>
          </w:p>
          <w:p w14:paraId="19C97132"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I.</w:t>
            </w:r>
            <w:r w:rsidRPr="007A3592">
              <w:rPr>
                <w:rFonts w:ascii="Times New Roman" w:hAnsi="Times New Roman" w:cs="Times New Roman"/>
                <w:bCs/>
                <w:sz w:val="20"/>
                <w:szCs w:val="20"/>
              </w:rPr>
              <w:tab/>
              <w:t>Execuția lucrărilor „ÎMBUNĂTĂȚIREA EFICIENȚEI ENERGETICE A SEDIULUI PRIMĂRIEI COMUNEI SMÂRDAN, JUDEȚUL GALAȚI”</w:t>
            </w:r>
          </w:p>
          <w:p w14:paraId="60083A24"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II.</w:t>
            </w:r>
            <w:r w:rsidRPr="007A3592">
              <w:rPr>
                <w:rFonts w:ascii="Times New Roman" w:hAnsi="Times New Roman" w:cs="Times New Roman"/>
                <w:bCs/>
                <w:sz w:val="20"/>
                <w:szCs w:val="20"/>
              </w:rPr>
              <w:tab/>
              <w:t>Garanția lucrărilor „ÎMBUNĂTĂȚIREA EFICIENȚEI ENERGETICE A SEDIULUI PRIMĂRIEI COMUNEI SMÂRDAN, JUDEȚUL GALAȚI”</w:t>
            </w:r>
          </w:p>
          <w:p w14:paraId="36AB7303" w14:textId="77777777" w:rsidR="007A3592" w:rsidRPr="007A3592" w:rsidRDefault="007A3592" w:rsidP="007A3592">
            <w:pPr>
              <w:contextualSpacing/>
              <w:jc w:val="both"/>
              <w:rPr>
                <w:rFonts w:ascii="Times New Roman" w:hAnsi="Times New Roman" w:cs="Times New Roman"/>
                <w:bCs/>
                <w:sz w:val="20"/>
                <w:szCs w:val="20"/>
              </w:rPr>
            </w:pPr>
          </w:p>
          <w:p w14:paraId="6A67FE33"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b) acțiuni care sunt considerate sub-activități ce conduc la îndeplinirea activităților principale; </w:t>
            </w:r>
          </w:p>
          <w:p w14:paraId="328FC8A3"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EXECUTIE</w:t>
            </w:r>
          </w:p>
          <w:p w14:paraId="5110F473"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Subactivități:</w:t>
            </w:r>
          </w:p>
          <w:p w14:paraId="127EB473"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Emiterea ordinului de începere a execuției lucrărilor</w:t>
            </w:r>
          </w:p>
          <w:p w14:paraId="21DD5CFF"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Realizarea organizării de șantier</w:t>
            </w:r>
          </w:p>
          <w:p w14:paraId="44456579"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Elaborarea graficului de execuție /plați detaliat</w:t>
            </w:r>
          </w:p>
          <w:p w14:paraId="3552ADB2"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Elaborarea Documentatiei conformă cu executia -As Built</w:t>
            </w:r>
          </w:p>
          <w:p w14:paraId="3FDE5E3B"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Plan de intretinere si reparatii (update)</w:t>
            </w:r>
          </w:p>
          <w:p w14:paraId="50D1CBBC" w14:textId="77777777" w:rsidR="007A3592" w:rsidRPr="007A3592" w:rsidRDefault="007A3592" w:rsidP="007A3592">
            <w:pPr>
              <w:contextualSpacing/>
              <w:jc w:val="both"/>
              <w:rPr>
                <w:rFonts w:ascii="Times New Roman" w:hAnsi="Times New Roman" w:cs="Times New Roman"/>
                <w:bCs/>
                <w:sz w:val="20"/>
                <w:szCs w:val="20"/>
              </w:rPr>
            </w:pPr>
          </w:p>
          <w:p w14:paraId="1B81BE05"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c) jaloanele/punctele critice care sunt considerate repere în determinarea termenelor ce asigură cuantificarea în timp a realizării activităților și a sub-activităților asumate la nivelul „Graficului de execuție al lucrărilor” ca document referință pentru întocmirea „Programului de execuție al lucrărilor”:</w:t>
            </w:r>
          </w:p>
          <w:p w14:paraId="5B638DAC"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Jaloanele reprezinta  evenimente semnificative în desfășurarea proiectului, cum ar fi terminarea unei activități majore, și in general nu au durata in planul proiectului, ci doar delimitează activitățile principale ale viitorului contract (în cazul de față, executie) și sub-activitatile aferente, putând fi considerate scopuri atinse, iar activitatile fiind mijloace de atingere a </w:t>
            </w:r>
            <w:r w:rsidRPr="007A3592">
              <w:rPr>
                <w:rFonts w:ascii="Times New Roman" w:hAnsi="Times New Roman" w:cs="Times New Roman"/>
                <w:bCs/>
                <w:sz w:val="20"/>
                <w:szCs w:val="20"/>
              </w:rPr>
              <w:lastRenderedPageBreak/>
              <w:t>acestor scopuri.</w:t>
            </w:r>
          </w:p>
          <w:p w14:paraId="153EE0BF"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Jaloanele sunt definite de termenele din planificare, iar aceasta (planificarea) ar trebui să detalieze de o manieră coerentă: - durata și succesiunea principalelor activități, - jaloanele etapelor de execuție.</w:t>
            </w:r>
          </w:p>
          <w:p w14:paraId="2840AA06"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In ceea ce privește etapele esentiale din faza de executie, acestea trebuie să respecte încadrarea în termenele de Contract;</w:t>
            </w:r>
          </w:p>
          <w:p w14:paraId="53C76937"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Garanția lucrărilor ”ÎMBUNĂTĂȚIREA EFICIENȚEI ENERGETICE A SEDIULUI PRIMĂRIEI COMUNEI SMÂRDAN, JUDEȚUL GALAȚI”</w:t>
            </w:r>
          </w:p>
          <w:p w14:paraId="241C564C"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Subactivități:</w:t>
            </w:r>
          </w:p>
          <w:p w14:paraId="6E2769FD"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recepție la terminarea lucrărilor;</w:t>
            </w:r>
          </w:p>
          <w:p w14:paraId="7919FA94"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recepție finala</w:t>
            </w:r>
          </w:p>
          <w:p w14:paraId="74AF00B7"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In cadrul acestei proceduri, se are în vedere verificarea de către comisia de evaluare a Autorității Contractante ca planificarea ofertantului  pentru activitățile si sub-activitatile viitorului contract de execuție să fie conformă cu cerințele stabilite de autoritatea contractantă, adică respectă ipotezele/premisele stabilite în documentația de atribuire cu privire la elemente cum ar fi: </w:t>
            </w:r>
          </w:p>
          <w:p w14:paraId="78BB5D8B"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w:t>
            </w:r>
            <w:r w:rsidRPr="007A3592">
              <w:rPr>
                <w:rFonts w:ascii="Times New Roman" w:hAnsi="Times New Roman" w:cs="Times New Roman"/>
                <w:bCs/>
                <w:sz w:val="20"/>
                <w:szCs w:val="20"/>
              </w:rPr>
              <w:tab/>
              <w:t xml:space="preserve">termenele de analiză; </w:t>
            </w:r>
          </w:p>
          <w:p w14:paraId="4700A172"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w:t>
            </w:r>
            <w:r w:rsidRPr="007A3592">
              <w:rPr>
                <w:rFonts w:ascii="Times New Roman" w:hAnsi="Times New Roman" w:cs="Times New Roman"/>
                <w:bCs/>
                <w:sz w:val="20"/>
                <w:szCs w:val="20"/>
              </w:rPr>
              <w:tab/>
              <w:t xml:space="preserve">transmitere observații, respectiv aprobare a livrabilelor intermediare/finale care revin Autorității contractant; </w:t>
            </w:r>
          </w:p>
          <w:p w14:paraId="7E3E674E"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w:t>
            </w:r>
            <w:r w:rsidRPr="007A3592">
              <w:rPr>
                <w:rFonts w:ascii="Times New Roman" w:hAnsi="Times New Roman" w:cs="Times New Roman"/>
                <w:bCs/>
                <w:sz w:val="20"/>
                <w:szCs w:val="20"/>
              </w:rPr>
              <w:tab/>
              <w:t xml:space="preserve">data de începere anticipată; </w:t>
            </w:r>
          </w:p>
          <w:p w14:paraId="3B0E13D2"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w:t>
            </w:r>
            <w:r w:rsidRPr="007A3592">
              <w:rPr>
                <w:rFonts w:ascii="Times New Roman" w:hAnsi="Times New Roman" w:cs="Times New Roman"/>
                <w:bCs/>
                <w:sz w:val="20"/>
                <w:szCs w:val="20"/>
              </w:rPr>
              <w:tab/>
              <w:t>eventuale perioade de suspendare a execuției lucrărilor datorate condițiilor climatice nefavorabile prevăzute în documentația de atribuire etc.)</w:t>
            </w:r>
          </w:p>
          <w:p w14:paraId="261B3C21" w14:textId="77777777" w:rsidR="007A3592" w:rsidRPr="007A3592" w:rsidRDefault="007A3592" w:rsidP="007A3592">
            <w:pPr>
              <w:contextualSpacing/>
              <w:jc w:val="both"/>
              <w:rPr>
                <w:rFonts w:ascii="Times New Roman" w:hAnsi="Times New Roman" w:cs="Times New Roman"/>
                <w:bCs/>
                <w:sz w:val="20"/>
                <w:szCs w:val="20"/>
              </w:rPr>
            </w:pPr>
          </w:p>
          <w:p w14:paraId="7DDE737C"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Nivelul de detaliere al Graficului Gantt prezentat de ofertant trebuie să fie adecvat complexităţii lucrărilor. De exemplu, comisia de evaluare va tine cont de urmataorele aspecte:</w:t>
            </w:r>
          </w:p>
          <w:p w14:paraId="5A015069"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 sunt luate în considerare toate activitățile si sub-activitatile, respectiv jaloanele aferente; </w:t>
            </w:r>
          </w:p>
          <w:p w14:paraId="7F76A96D"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 se prezintă resursele alocate și productivitatea acestora; </w:t>
            </w:r>
          </w:p>
          <w:p w14:paraId="064EC046"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 este evidenţiat clar drumul critic; </w:t>
            </w:r>
          </w:p>
          <w:p w14:paraId="1632F2B5"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 se prezintă pentru fiecare activitate, data de început și cea de sfârșit; </w:t>
            </w:r>
          </w:p>
          <w:p w14:paraId="3B95C2DA"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 se arată legăturile logice între activități, adică o anume activitate nu poate fi realizată înaintea alteia( de ex.  instalațiile electrice nu pot fi efectuate inainte de constructii etc); </w:t>
            </w:r>
          </w:p>
          <w:p w14:paraId="7B60E867"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există o descriere narativă a programului de lucru furnizat, acoperind toate ipotezele importante - cum ar fi: perioadele de executie - considerând/reliefând perioada de iarnă - mai puțin productiva - dacă este cazul, aprobările altor terțe părți etc).</w:t>
            </w:r>
          </w:p>
          <w:p w14:paraId="4FC0B4FF" w14:textId="77777777" w:rsidR="007A3592" w:rsidRPr="007A3592" w:rsidRDefault="007A3592" w:rsidP="007A3592">
            <w:pPr>
              <w:contextualSpacing/>
              <w:jc w:val="both"/>
              <w:rPr>
                <w:rFonts w:ascii="Times New Roman" w:hAnsi="Times New Roman" w:cs="Times New Roman"/>
                <w:bCs/>
                <w:sz w:val="20"/>
                <w:szCs w:val="20"/>
              </w:rPr>
            </w:pPr>
          </w:p>
          <w:p w14:paraId="2EEC84F6"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Autoritatea Contractantă are în vedere practic o analiză a drumului critic care urmăreste șirul de activități critice (a căror rezervă de timp este nulă), dependențe una de cealaltă (o activitate critică nu poate fi startată până ce nu au fost finalizate toate activitățile critice, al căror eveniment final corespunde cu evenimentul de start al acesteia, deci acestea nu se pot suprapune). </w:t>
            </w:r>
          </w:p>
          <w:p w14:paraId="42B5A18A"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Timpul total minim necesar realizării tuturor activităților din drumul critic reprezintă durata de realizare a lucrării. </w:t>
            </w:r>
          </w:p>
          <w:p w14:paraId="4D03129C"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Activitățile care se află pe drumul critic trebuie clar evidențiate, deoarece trebuie să li se acorde o importanță sporită în realizarea Contractului, având în vedere că orice modificare intervenită în derularea activităților din drumul critic perturbă întregul Contract. Altfel spus, pentru fiecare activitate din graficul de execuție trebuie prevăzută o perioadă critică care trebuie respectată astfel încât execuția să fie finalizată în timpul prestabilit/estimat si impus prin Documentatia de atribuire de Autoritatea Contractanta.</w:t>
            </w:r>
          </w:p>
          <w:p w14:paraId="09EDBE98" w14:textId="77777777" w:rsidR="007A3592" w:rsidRPr="007A3592" w:rsidRDefault="007A3592" w:rsidP="007A3592">
            <w:pPr>
              <w:contextualSpacing/>
              <w:jc w:val="both"/>
              <w:rPr>
                <w:rFonts w:ascii="Times New Roman" w:hAnsi="Times New Roman" w:cs="Times New Roman"/>
                <w:bCs/>
                <w:sz w:val="20"/>
                <w:szCs w:val="20"/>
              </w:rPr>
            </w:pPr>
          </w:p>
          <w:p w14:paraId="00B5917C"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Graficul Gantt ce urmeaza a fi introdus in oferta operatorului economic va fi evidentiat realist, adică se vor distinge clar următoarele aspecte:</w:t>
            </w:r>
          </w:p>
          <w:p w14:paraId="509AE15E"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calendarul prevăzut pentru mobilizarea Antreprenorului;</w:t>
            </w:r>
          </w:p>
          <w:p w14:paraId="60C4AA24"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 dacă perioadele de timp prevăzute pentru lucrările provizorii, măsuri de siguranță, management de trafic, etc. sunt suficiente și rezonabile în raport cu complexitatea activităților pe care le implică și resursele alocate; </w:t>
            </w:r>
          </w:p>
          <w:p w14:paraId="73C007F5"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 interacțiunile din cadrul echipei Antreprenorului, respectiv a Antreprenorului cu Autoritatea Contractantă, precum și cu autoritățile care emit avize/autorizații sunt prevăzute într-un mod care asigură o revizuire adecvată tuturor livrabilelor (cu respectarea totodată a perioadelor minime de răspuns/trimitere observații din partea Beneficiarului prevăzute de autoritatea Contractantă în documentația de atribuire); </w:t>
            </w:r>
          </w:p>
          <w:p w14:paraId="28FE3CE3"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 durata și secvența propusă a activităților aferente implementării contractului sunt în concordanță cu buna practica și corelate cu resursele adecvate - tehnice si umane propuse; </w:t>
            </w:r>
          </w:p>
          <w:p w14:paraId="3C72A61C"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jaloanele identificate sunt reprezentative/relevante pentru a reflecta că proiectul este "în grafic"</w:t>
            </w:r>
          </w:p>
          <w:p w14:paraId="155B4B41"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 sunt prevăzute termene pentru testare, punere în funcțiune şi altele asemenea, acestea fiind realiste - tinand cont de termenele de aprobare etc; </w:t>
            </w:r>
          </w:p>
          <w:p w14:paraId="6A62B03D"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d)abateri ce sunt considerate minore sau majore, in raport „Graficul general de realizare al obiectivului de investiții” si resursele alocate.</w:t>
            </w:r>
          </w:p>
          <w:p w14:paraId="670FF3C4"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Abaterile minore pot fi considerate abateri/devieri de la premisele/ipotezele stabilite de autoritatea contractantă care nu ar avea un impact asupra graficului Gantt sau asupra logicii de planificare a ofertantului, putând fi economisite din accelerarea rezonabilă a altor activități.</w:t>
            </w:r>
          </w:p>
          <w:p w14:paraId="6A079DB6"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lastRenderedPageBreak/>
              <w:t xml:space="preserve">De exemplu, dacă un ofertant consideră drept referinţă în elaborarea graficului durata obţinerii unei aprobări din partea autorității contractante un termen de 7 zile, spre deosebire de 10 zile, se înțelege că ofertantul poate corecta acest termen fără impact major asupra altora (raportându-ne la durata contractului in ansamblu). Astfel, nu se schimbă logica generală a planificării sale prin accelerarea ușoară a uneia dintre cele mai lungi activități. </w:t>
            </w:r>
          </w:p>
          <w:p w14:paraId="413A4475"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 xml:space="preserve">În cazul în care asemenea eroare are o natură repetitivă, generând un cumul de erori, oferta va fi considerata neconformă, întrucât afectează întreaga durată de execuţie a Contractului, inclusiv drumul critic ceea ce ar conduce la o planificare superficiala a ofertelor depuse de operatorii economici, nicidecum in acord cu cerintele Autorității Contractante, aspect care ar pune in pericol termenul de finalizare al Lucrarilor; </w:t>
            </w:r>
          </w:p>
          <w:p w14:paraId="73610136"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Ofertele care nu prevad, nu includ elementele prevazute in Caietul de Sarcini ca definite livrabile (Planul calitații, Planul general de control al calitații, Planul de securitate și coordonare, Planul de securitate și sanatate al Contractantului, Planul de management al traficului rutier pe parcursul execuției elaborat conform Normelor Metodologice in vigoare, Planul de management al mediului, Planul de paza), în mod clar, nu pot fi considerate conforme, având în vedere cerintele Beneficiarului - asadar cumularea eventual a unor livrabile este acceptată (tinand cont de termenele initial prevazute in Caietul de Sarcini, însă excluderea acestora nu poate fi acceptată și se va defini ca fiind abatere majoră.</w:t>
            </w:r>
          </w:p>
          <w:p w14:paraId="6B78641C" w14:textId="77777777"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Practic Autoritatea a definit doua mari termene - termen de finalizare al Executiei, și termenul de garantie al Lucrarilor.</w:t>
            </w:r>
          </w:p>
          <w:p w14:paraId="139D04B2" w14:textId="04A56ACE" w:rsidR="007A3592" w:rsidRPr="007A3592" w:rsidRDefault="007A3592" w:rsidP="007A3592">
            <w:pPr>
              <w:contextualSpacing/>
              <w:jc w:val="both"/>
              <w:rPr>
                <w:rFonts w:ascii="Times New Roman" w:hAnsi="Times New Roman" w:cs="Times New Roman"/>
                <w:bCs/>
                <w:sz w:val="20"/>
                <w:szCs w:val="20"/>
              </w:rPr>
            </w:pPr>
            <w:r w:rsidRPr="007A3592">
              <w:rPr>
                <w:rFonts w:ascii="Times New Roman" w:hAnsi="Times New Roman" w:cs="Times New Roman"/>
                <w:bCs/>
                <w:sz w:val="20"/>
                <w:szCs w:val="20"/>
              </w:rPr>
              <w:t>Pe de alta parte etapele intermediare, sub-activitatile planificate iresponsabil pot afecta deopotriva buna implementare, drept pentru care o analiza a devierilor de la planificarea proiectată/gandită de Autoritatea Contractantă este una responsabilă, în acord cu obiectivul de atins prin contractul licitat.</w:t>
            </w:r>
          </w:p>
        </w:tc>
      </w:tr>
      <w:tr w:rsidR="009B7265" w:rsidRPr="009B7265" w14:paraId="5E849763" w14:textId="77777777" w:rsidTr="00021A37">
        <w:tc>
          <w:tcPr>
            <w:tcW w:w="9628" w:type="dxa"/>
          </w:tcPr>
          <w:p w14:paraId="570DB5B9" w14:textId="77777777" w:rsidR="00BD3792" w:rsidRPr="009B7265" w:rsidRDefault="00F36E2C" w:rsidP="00DC6CE5">
            <w:pPr>
              <w:contextualSpacing/>
              <w:jc w:val="both"/>
              <w:rPr>
                <w:rFonts w:ascii="Times New Roman" w:hAnsi="Times New Roman" w:cs="Times New Roman"/>
                <w:b/>
                <w:sz w:val="20"/>
                <w:szCs w:val="20"/>
              </w:rPr>
            </w:pPr>
            <w:r w:rsidRPr="009B7265">
              <w:rPr>
                <w:rFonts w:ascii="Times New Roman" w:hAnsi="Times New Roman" w:cs="Times New Roman"/>
                <w:b/>
                <w:sz w:val="20"/>
                <w:szCs w:val="20"/>
              </w:rPr>
              <w:lastRenderedPageBreak/>
              <w:t>III.1.6) Depozite valorice si garanții solicitate:</w:t>
            </w:r>
          </w:p>
          <w:p w14:paraId="44015E76" w14:textId="77777777" w:rsidR="00BD3792" w:rsidRPr="009B7265" w:rsidRDefault="007F3CA1" w:rsidP="00DC6CE5">
            <w:pPr>
              <w:contextualSpacing/>
              <w:jc w:val="both"/>
              <w:rPr>
                <w:rFonts w:ascii="Times New Roman" w:hAnsi="Times New Roman" w:cs="Times New Roman"/>
                <w:b/>
                <w:sz w:val="20"/>
                <w:szCs w:val="20"/>
              </w:rPr>
            </w:pPr>
            <w:r w:rsidRPr="009B7265">
              <w:rPr>
                <w:rFonts w:ascii="Times New Roman" w:hAnsi="Times New Roman" w:cs="Times New Roman"/>
                <w:b/>
                <w:sz w:val="20"/>
                <w:szCs w:val="20"/>
              </w:rPr>
              <w:t>III.1.6.a) Garanție de participare:</w:t>
            </w:r>
          </w:p>
          <w:p w14:paraId="3AC8480A" w14:textId="243AFD52" w:rsidR="00212525" w:rsidRPr="009B7265" w:rsidRDefault="00212525" w:rsidP="00DC6CE5">
            <w:pPr>
              <w:suppressAutoHyphens/>
              <w:contextualSpacing/>
              <w:jc w:val="both"/>
              <w:rPr>
                <w:rFonts w:ascii="Times New Roman" w:eastAsia="Calibri" w:hAnsi="Times New Roman" w:cs="Times New Roman"/>
                <w:bCs/>
                <w:sz w:val="20"/>
                <w:szCs w:val="20"/>
                <w:lang w:eastAsia="ar-SA"/>
              </w:rPr>
            </w:pPr>
            <w:r w:rsidRPr="009B7265">
              <w:rPr>
                <w:rFonts w:ascii="Times New Roman" w:eastAsia="Calibri" w:hAnsi="Times New Roman" w:cs="Times New Roman"/>
                <w:bCs/>
                <w:sz w:val="20"/>
                <w:szCs w:val="20"/>
                <w:lang w:eastAsia="ar-SA"/>
              </w:rPr>
              <w:t xml:space="preserve">Cuantumul garantiei de participare: 1% din valoarea estimată, respectiv </w:t>
            </w:r>
            <w:r w:rsidR="00612991">
              <w:rPr>
                <w:rFonts w:ascii="Times New Roman" w:eastAsia="Calibri" w:hAnsi="Times New Roman" w:cs="Times New Roman"/>
                <w:bCs/>
                <w:sz w:val="20"/>
                <w:szCs w:val="20"/>
                <w:lang w:eastAsia="ar-SA"/>
              </w:rPr>
              <w:t>22233</w:t>
            </w:r>
            <w:r w:rsidRPr="009B7265">
              <w:rPr>
                <w:rFonts w:ascii="Times New Roman" w:eastAsia="Calibri" w:hAnsi="Times New Roman" w:cs="Times New Roman"/>
                <w:bCs/>
                <w:sz w:val="20"/>
                <w:szCs w:val="20"/>
                <w:lang w:eastAsia="ar-SA"/>
              </w:rPr>
              <w:t xml:space="preserve"> lei.</w:t>
            </w:r>
          </w:p>
          <w:p w14:paraId="30807D21" w14:textId="77777777" w:rsidR="00212525" w:rsidRPr="009B7265" w:rsidRDefault="00212525" w:rsidP="00DC6CE5">
            <w:pPr>
              <w:suppressAutoHyphens/>
              <w:contextualSpacing/>
              <w:jc w:val="both"/>
              <w:rPr>
                <w:rFonts w:ascii="Times New Roman" w:eastAsia="Calibri" w:hAnsi="Times New Roman" w:cs="Times New Roman"/>
                <w:bCs/>
                <w:sz w:val="20"/>
                <w:szCs w:val="20"/>
                <w:lang w:eastAsia="ar-SA"/>
              </w:rPr>
            </w:pPr>
            <w:r w:rsidRPr="009B7265">
              <w:rPr>
                <w:rFonts w:ascii="Times New Roman" w:eastAsia="Calibri" w:hAnsi="Times New Roman" w:cs="Times New Roman"/>
                <w:bCs/>
                <w:sz w:val="20"/>
                <w:szCs w:val="20"/>
                <w:lang w:val="en-GB" w:eastAsia="ar-SA"/>
              </w:rPr>
              <w:t>Perioada de valabilitate care va fi cel puţin egală cu perioada minimă de valabilitate a ofertei</w:t>
            </w:r>
          </w:p>
          <w:p w14:paraId="4F8EEB6B" w14:textId="77777777" w:rsidR="00AF4F3A" w:rsidRPr="009B7265" w:rsidRDefault="00212525" w:rsidP="00DC6CE5">
            <w:pPr>
              <w:contextualSpacing/>
              <w:jc w:val="both"/>
              <w:rPr>
                <w:rFonts w:ascii="Times New Roman" w:eastAsia="Calibri" w:hAnsi="Times New Roman" w:cs="Times New Roman"/>
                <w:bCs/>
                <w:sz w:val="20"/>
                <w:szCs w:val="20"/>
                <w:lang w:eastAsia="ar-SA"/>
              </w:rPr>
            </w:pPr>
            <w:r w:rsidRPr="009B7265">
              <w:rPr>
                <w:rFonts w:ascii="Times New Roman" w:eastAsia="Calibri" w:hAnsi="Times New Roman" w:cs="Times New Roman"/>
                <w:bCs/>
                <w:sz w:val="20"/>
                <w:szCs w:val="20"/>
                <w:lang w:eastAsia="ar-SA"/>
              </w:rPr>
              <w:t>Garantia de participare se constituie prin</w:t>
            </w:r>
            <w:r w:rsidR="00AF4F3A" w:rsidRPr="009B7265">
              <w:rPr>
                <w:rFonts w:ascii="Times New Roman" w:eastAsia="Calibri" w:hAnsi="Times New Roman" w:cs="Times New Roman"/>
                <w:bCs/>
                <w:sz w:val="20"/>
                <w:szCs w:val="20"/>
                <w:lang w:eastAsia="ar-SA"/>
              </w:rPr>
              <w:t>:</w:t>
            </w:r>
          </w:p>
          <w:p w14:paraId="0E177FCC" w14:textId="32514B6E" w:rsidR="00AF4F3A" w:rsidRPr="009B7265" w:rsidRDefault="00AF4F3A" w:rsidP="00DC6CE5">
            <w:pPr>
              <w:contextualSpacing/>
              <w:jc w:val="both"/>
              <w:rPr>
                <w:rFonts w:ascii="Times New Roman" w:eastAsia="Calibri" w:hAnsi="Times New Roman" w:cs="Times New Roman"/>
                <w:bCs/>
                <w:sz w:val="20"/>
                <w:szCs w:val="20"/>
                <w:lang w:val="en-GB" w:eastAsia="ar-SA"/>
              </w:rPr>
            </w:pPr>
            <w:r w:rsidRPr="009B7265">
              <w:rPr>
                <w:rFonts w:ascii="Times New Roman" w:eastAsia="Calibri" w:hAnsi="Times New Roman" w:cs="Times New Roman"/>
                <w:bCs/>
                <w:sz w:val="20"/>
                <w:szCs w:val="20"/>
                <w:lang w:eastAsia="ar-SA"/>
              </w:rPr>
              <w:t>a)</w:t>
            </w:r>
            <w:r w:rsidR="00212525" w:rsidRPr="009B7265">
              <w:rPr>
                <w:rFonts w:ascii="Times New Roman" w:eastAsia="Calibri" w:hAnsi="Times New Roman" w:cs="Times New Roman"/>
                <w:bCs/>
                <w:sz w:val="20"/>
                <w:szCs w:val="20"/>
                <w:lang w:eastAsia="ar-SA"/>
              </w:rPr>
              <w:t xml:space="preserve"> virament bancar in contul </w:t>
            </w:r>
            <w:r w:rsidR="00212525" w:rsidRPr="00C05AA3">
              <w:rPr>
                <w:rFonts w:ascii="Times New Roman" w:eastAsia="Times New Roman" w:hAnsi="Times New Roman" w:cs="Times New Roman"/>
                <w:bCs/>
                <w:sz w:val="20"/>
                <w:szCs w:val="20"/>
                <w:lang w:eastAsia="ar-SA"/>
              </w:rPr>
              <w:t>RO</w:t>
            </w:r>
            <w:r w:rsidR="0078399D" w:rsidRPr="00C05AA3">
              <w:rPr>
                <w:rFonts w:ascii="Times New Roman" w:eastAsia="Times New Roman" w:hAnsi="Times New Roman" w:cs="Times New Roman"/>
                <w:bCs/>
                <w:sz w:val="20"/>
                <w:szCs w:val="20"/>
                <w:lang w:eastAsia="ar-SA"/>
              </w:rPr>
              <w:t>6</w:t>
            </w:r>
            <w:r w:rsidR="00AE76A8" w:rsidRPr="00C05AA3">
              <w:rPr>
                <w:rFonts w:ascii="Times New Roman" w:eastAsia="Times New Roman" w:hAnsi="Times New Roman" w:cs="Times New Roman"/>
                <w:bCs/>
                <w:sz w:val="20"/>
                <w:szCs w:val="20"/>
                <w:lang w:eastAsia="ar-SA"/>
              </w:rPr>
              <w:t>2TREZ3065006XXX004705</w:t>
            </w:r>
          </w:p>
          <w:p w14:paraId="2081E093" w14:textId="7047D085"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b) instrumente de garantare emise în condiţiile legii astfel:</w:t>
            </w:r>
          </w:p>
          <w:p w14:paraId="319133AE" w14:textId="77777777"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(i) scrisori de garanţie emise de instituţii de credit bancare din România sau din alt stat;</w:t>
            </w:r>
          </w:p>
          <w:p w14:paraId="2A78709B" w14:textId="5848CDCB"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(ii) scrisori de garanţie emise de instituţii financiare nebancare din România sau din alt stat pentru achiziţiile de lucrări a căror valoare estimată este mai mică sau egală cu 40.000.000 lei fără TVA;</w:t>
            </w:r>
          </w:p>
          <w:p w14:paraId="42BF1DA2" w14:textId="77777777"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(iii) asigurări de garanţii emise:</w:t>
            </w:r>
          </w:p>
          <w:p w14:paraId="34BDBFB9" w14:textId="77777777" w:rsidR="00AF4F3A" w:rsidRPr="009B7265" w:rsidRDefault="00AF4F3A" w:rsidP="00DC6CE5">
            <w:pPr>
              <w:contextualSpacing/>
              <w:jc w:val="both"/>
              <w:rPr>
                <w:rFonts w:ascii="Times New Roman" w:eastAsia="Times New Roman" w:hAnsi="Times New Roman" w:cs="Times New Roman"/>
                <w:b/>
                <w:sz w:val="20"/>
                <w:szCs w:val="20"/>
              </w:rPr>
            </w:pPr>
            <w:r w:rsidRPr="009B7265">
              <w:rPr>
                <w:rFonts w:ascii="Times New Roman" w:eastAsia="Times New Roman" w:hAnsi="Times New Roman" w:cs="Times New Roman"/>
                <w:b/>
                <w:sz w:val="20"/>
                <w:szCs w:val="20"/>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E70EC74" w14:textId="77777777" w:rsidR="00AF4F3A" w:rsidRPr="009B7265" w:rsidRDefault="00AF4F3A" w:rsidP="00DC6CE5">
            <w:pPr>
              <w:contextualSpacing/>
              <w:jc w:val="both"/>
              <w:rPr>
                <w:rFonts w:ascii="Times New Roman" w:eastAsia="Times New Roman" w:hAnsi="Times New Roman" w:cs="Times New Roman"/>
                <w:b/>
                <w:sz w:val="20"/>
                <w:szCs w:val="20"/>
              </w:rPr>
            </w:pPr>
            <w:r w:rsidRPr="009B7265">
              <w:rPr>
                <w:rFonts w:ascii="Times New Roman" w:eastAsia="Times New Roman" w:hAnsi="Times New Roman" w:cs="Times New Roman"/>
                <w:b/>
                <w:sz w:val="20"/>
                <w:szCs w:val="20"/>
              </w:rPr>
              <w:t xml:space="preserve">    - fie de societăţi de asigurare din state terţe prin sucursale autorizate în România de către Autoritatea de Supraveghere Financiară;</w:t>
            </w:r>
          </w:p>
          <w:p w14:paraId="7D2C0C95" w14:textId="77777777" w:rsidR="00AF4F3A" w:rsidRPr="009B7265" w:rsidRDefault="00AF4F3A" w:rsidP="00DC6CE5">
            <w:pPr>
              <w:contextualSpacing/>
              <w:jc w:val="both"/>
              <w:rPr>
                <w:rFonts w:ascii="Times New Roman" w:eastAsia="Times New Roman" w:hAnsi="Times New Roman" w:cs="Times New Roman"/>
                <w:b/>
                <w:sz w:val="20"/>
                <w:szCs w:val="20"/>
              </w:rPr>
            </w:pPr>
            <w:r w:rsidRPr="009B7265">
              <w:rPr>
                <w:rFonts w:ascii="Times New Roman" w:eastAsia="Times New Roman" w:hAnsi="Times New Roman" w:cs="Times New Roman"/>
                <w:b/>
                <w:sz w:val="20"/>
                <w:szCs w:val="20"/>
              </w:rPr>
              <w:t xml:space="preserve">    c) depunerea la casierie a unor sume în numerar dacă valoarea este mai mică de 5.000 lei;. Garanția de participare trebuie să fie irevocabilă și să fie constituită în suma și pentru perioada de valabilitate prevăzute în documentația de atribuire.</w:t>
            </w:r>
          </w:p>
          <w:p w14:paraId="1DEBA671" w14:textId="77777777"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sz w:val="20"/>
                <w:szCs w:val="20"/>
              </w:rPr>
              <w:t>Instrumentul de garantare sau ordinul de virament se transmite în SEAP împreună cu oferta și celelalte documente ale acesteia, trebuie să prevadă că plata garanției de participare se va executa necondiționat, respectiv la prima cerere a autorității contractante, pe baza declarației acestuia cu privire la culpa persoanei garantate.Documentul de plată va fi încărcat în SEAP, semnat cu semnătură electronică, până la data limită de depunere a ofertelor.</w:t>
            </w:r>
          </w:p>
          <w:p w14:paraId="313006EB" w14:textId="2F23005B"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i/>
                <w:sz w:val="20"/>
                <w:szCs w:val="20"/>
              </w:rPr>
              <w:t xml:space="preserve"> </w:t>
            </w:r>
            <w:r w:rsidRPr="009B7265">
              <w:rPr>
                <w:rFonts w:ascii="Times New Roman" w:eastAsia="Times New Roman" w:hAnsi="Times New Roman" w:cs="Times New Roman"/>
                <w:sz w:val="20"/>
                <w:szCs w:val="20"/>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1A86248A" w14:textId="77777777"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sz w:val="20"/>
                <w:szCs w:val="20"/>
              </w:rPr>
              <w:t>În cazul participării în comun la procedura de atribuire, garanția de participare trebuie constituită în numele asocierii și să menționeze că acoperă în mod solidar toți membrii grupului de operatori economici.</w:t>
            </w:r>
          </w:p>
          <w:p w14:paraId="27347A55" w14:textId="77777777"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72BE52F6" w14:textId="7A7D4D59" w:rsidR="005304CD" w:rsidRPr="009B7265" w:rsidRDefault="00836870" w:rsidP="00DC6CE5">
            <w:pPr>
              <w:contextualSpacing/>
              <w:jc w:val="both"/>
              <w:rPr>
                <w:rFonts w:ascii="Times New Roman" w:hAnsi="Times New Roman" w:cs="Times New Roman"/>
                <w:bCs/>
                <w:sz w:val="20"/>
                <w:szCs w:val="20"/>
              </w:rPr>
            </w:pPr>
            <w:r w:rsidRPr="009B7265">
              <w:rPr>
                <w:rFonts w:ascii="Times New Roman" w:hAnsi="Times New Roman" w:cs="Times New Roman"/>
                <w:sz w:val="20"/>
                <w:szCs w:val="20"/>
              </w:rPr>
              <w:t>Modalitatea de restituire a garantiei de participare- conform Art. 154^1 din Legea 98/2016;Modalitatea de reținere a garantiei de participare- conform Art.37 alin.(1) din HG 395/2016</w:t>
            </w:r>
            <w:r w:rsidR="005304CD" w:rsidRPr="009B7265">
              <w:rPr>
                <w:rFonts w:ascii="Times New Roman" w:hAnsi="Times New Roman" w:cs="Times New Roman"/>
                <w:bCs/>
                <w:sz w:val="20"/>
                <w:szCs w:val="20"/>
              </w:rPr>
              <w:t>.</w:t>
            </w:r>
          </w:p>
          <w:p w14:paraId="6068A4D2" w14:textId="77777777" w:rsidR="003B1245" w:rsidRPr="009B7265" w:rsidRDefault="003B1245" w:rsidP="00DC6CE5">
            <w:pPr>
              <w:contextualSpacing/>
              <w:jc w:val="both"/>
              <w:rPr>
                <w:rFonts w:ascii="Times New Roman" w:hAnsi="Times New Roman" w:cs="Times New Roman"/>
                <w:bCs/>
                <w:sz w:val="20"/>
                <w:szCs w:val="20"/>
              </w:rPr>
            </w:pPr>
            <w:r w:rsidRPr="009B7265">
              <w:rPr>
                <w:rFonts w:ascii="Times New Roman" w:hAnsi="Times New Roman" w:cs="Times New Roman"/>
                <w:bCs/>
                <w:sz w:val="20"/>
                <w:szCs w:val="20"/>
              </w:rPr>
              <w:t xml:space="preserve">III.1.6.b) </w:t>
            </w:r>
            <w:r w:rsidR="00657A32" w:rsidRPr="009B7265">
              <w:rPr>
                <w:rFonts w:ascii="Times New Roman" w:hAnsi="Times New Roman" w:cs="Times New Roman"/>
                <w:bCs/>
                <w:sz w:val="20"/>
                <w:szCs w:val="20"/>
              </w:rPr>
              <w:t>Garanția</w:t>
            </w:r>
            <w:r w:rsidRPr="009B7265">
              <w:rPr>
                <w:rFonts w:ascii="Times New Roman" w:hAnsi="Times New Roman" w:cs="Times New Roman"/>
                <w:bCs/>
                <w:sz w:val="20"/>
                <w:szCs w:val="20"/>
              </w:rPr>
              <w:t xml:space="preserve"> de bun</w:t>
            </w:r>
            <w:r w:rsidR="00657A32" w:rsidRPr="009B7265">
              <w:rPr>
                <w:rFonts w:ascii="Times New Roman" w:hAnsi="Times New Roman" w:cs="Times New Roman"/>
                <w:bCs/>
                <w:sz w:val="20"/>
                <w:szCs w:val="20"/>
              </w:rPr>
              <w:t>ă</w:t>
            </w:r>
            <w:r w:rsidRPr="009B7265">
              <w:rPr>
                <w:rFonts w:ascii="Times New Roman" w:hAnsi="Times New Roman" w:cs="Times New Roman"/>
                <w:bCs/>
                <w:sz w:val="20"/>
                <w:szCs w:val="20"/>
              </w:rPr>
              <w:t xml:space="preserve"> </w:t>
            </w:r>
            <w:r w:rsidR="00657A32" w:rsidRPr="009B7265">
              <w:rPr>
                <w:rFonts w:ascii="Times New Roman" w:hAnsi="Times New Roman" w:cs="Times New Roman"/>
                <w:bCs/>
                <w:sz w:val="20"/>
                <w:szCs w:val="20"/>
              </w:rPr>
              <w:t>execuție</w:t>
            </w:r>
            <w:r w:rsidRPr="009B7265">
              <w:rPr>
                <w:rFonts w:ascii="Times New Roman" w:hAnsi="Times New Roman" w:cs="Times New Roman"/>
                <w:bCs/>
                <w:sz w:val="20"/>
                <w:szCs w:val="20"/>
              </w:rPr>
              <w:t>:</w:t>
            </w:r>
          </w:p>
          <w:p w14:paraId="60B36DB5" w14:textId="01F70868" w:rsidR="00C63A83" w:rsidRPr="009B7265" w:rsidRDefault="00C63A83" w:rsidP="00DC6CE5">
            <w:pPr>
              <w:contextualSpacing/>
              <w:jc w:val="both"/>
              <w:rPr>
                <w:rFonts w:ascii="Times New Roman" w:hAnsi="Times New Roman" w:cs="Times New Roman"/>
                <w:bCs/>
                <w:sz w:val="20"/>
                <w:szCs w:val="20"/>
              </w:rPr>
            </w:pPr>
            <w:r w:rsidRPr="009B7265">
              <w:rPr>
                <w:rFonts w:ascii="Times New Roman" w:hAnsi="Times New Roman" w:cs="Times New Roman"/>
                <w:bCs/>
                <w:sz w:val="20"/>
                <w:szCs w:val="20"/>
              </w:rPr>
              <w:t xml:space="preserve">Cuantumul garanției de bună execuție reprezintă </w:t>
            </w:r>
            <w:r w:rsidR="005D6E60" w:rsidRPr="009B7265">
              <w:rPr>
                <w:rFonts w:ascii="Times New Roman" w:hAnsi="Times New Roman" w:cs="Times New Roman"/>
                <w:bCs/>
                <w:i/>
                <w:iCs/>
                <w:sz w:val="20"/>
                <w:szCs w:val="20"/>
              </w:rPr>
              <w:t xml:space="preserve">10% </w:t>
            </w:r>
            <w:r w:rsidRPr="009B7265">
              <w:rPr>
                <w:rFonts w:ascii="Times New Roman" w:hAnsi="Times New Roman" w:cs="Times New Roman"/>
                <w:bCs/>
                <w:sz w:val="20"/>
                <w:szCs w:val="20"/>
              </w:rPr>
              <w:t xml:space="preserve">din prețul contractului (fără TVA) și se va constitui în conformitate cu prevederile </w:t>
            </w:r>
            <w:r w:rsidR="00B47D9E" w:rsidRPr="009B7265">
              <w:rPr>
                <w:rFonts w:ascii="Times New Roman" w:hAnsi="Times New Roman" w:cs="Times New Roman"/>
                <w:bCs/>
                <w:sz w:val="20"/>
                <w:szCs w:val="20"/>
              </w:rPr>
              <w:t>art</w:t>
            </w:r>
            <w:r w:rsidR="004E5572" w:rsidRPr="009B7265">
              <w:rPr>
                <w:rFonts w:ascii="Times New Roman" w:hAnsi="Times New Roman" w:cs="Times New Roman"/>
                <w:bCs/>
                <w:sz w:val="20"/>
                <w:szCs w:val="20"/>
              </w:rPr>
              <w:t>.</w:t>
            </w:r>
            <w:r w:rsidR="00B47D9E" w:rsidRPr="009B7265">
              <w:rPr>
                <w:rFonts w:ascii="Times New Roman" w:hAnsi="Times New Roman" w:cs="Times New Roman"/>
                <w:bCs/>
                <w:sz w:val="20"/>
                <w:szCs w:val="20"/>
              </w:rPr>
              <w:t xml:space="preserve"> 154 </w:t>
            </w:r>
            <w:r w:rsidR="004E5572" w:rsidRPr="009B7265">
              <w:rPr>
                <w:rFonts w:ascii="Times New Roman" w:hAnsi="Times New Roman" w:cs="Times New Roman"/>
                <w:bCs/>
                <w:sz w:val="20"/>
                <w:szCs w:val="20"/>
              </w:rPr>
              <w:t xml:space="preserve">alin (3) și (4) </w:t>
            </w:r>
            <w:r w:rsidR="00B47D9E" w:rsidRPr="009B7265">
              <w:rPr>
                <w:rFonts w:ascii="Times New Roman" w:hAnsi="Times New Roman" w:cs="Times New Roman"/>
                <w:bCs/>
                <w:sz w:val="20"/>
                <w:szCs w:val="20"/>
              </w:rPr>
              <w:t xml:space="preserve">din Legea </w:t>
            </w:r>
            <w:r w:rsidR="00A0179B" w:rsidRPr="009B7265">
              <w:rPr>
                <w:rFonts w:ascii="Times New Roman" w:hAnsi="Times New Roman" w:cs="Times New Roman"/>
                <w:bCs/>
                <w:sz w:val="20"/>
                <w:szCs w:val="20"/>
              </w:rPr>
              <w:t>98/2016</w:t>
            </w:r>
            <w:r w:rsidR="004E5572" w:rsidRPr="009B7265">
              <w:rPr>
                <w:rFonts w:ascii="Times New Roman" w:hAnsi="Times New Roman" w:cs="Times New Roman"/>
                <w:bCs/>
                <w:sz w:val="20"/>
                <w:szCs w:val="20"/>
              </w:rPr>
              <w:t xml:space="preserve">, </w:t>
            </w:r>
            <w:r w:rsidR="00E20330" w:rsidRPr="009B7265">
              <w:rPr>
                <w:rFonts w:ascii="Times New Roman" w:hAnsi="Times New Roman" w:cs="Times New Roman"/>
                <w:bCs/>
                <w:sz w:val="20"/>
                <w:szCs w:val="20"/>
              </w:rPr>
              <w:t>precum și</w:t>
            </w:r>
            <w:r w:rsidR="00410769" w:rsidRPr="009B7265">
              <w:rPr>
                <w:rFonts w:ascii="Times New Roman" w:hAnsi="Times New Roman" w:cs="Times New Roman"/>
                <w:bCs/>
                <w:sz w:val="20"/>
                <w:szCs w:val="20"/>
              </w:rPr>
              <w:t xml:space="preserve"> cu prevederile</w:t>
            </w:r>
            <w:r w:rsidR="00661D32" w:rsidRPr="009B7265">
              <w:rPr>
                <w:rFonts w:ascii="Times New Roman" w:hAnsi="Times New Roman" w:cs="Times New Roman"/>
                <w:bCs/>
                <w:sz w:val="20"/>
                <w:szCs w:val="20"/>
              </w:rPr>
              <w:t xml:space="preserve"> </w:t>
            </w:r>
            <w:r w:rsidRPr="009B7265">
              <w:rPr>
                <w:rFonts w:ascii="Times New Roman" w:hAnsi="Times New Roman" w:cs="Times New Roman"/>
                <w:bCs/>
                <w:sz w:val="20"/>
                <w:szCs w:val="20"/>
              </w:rPr>
              <w:t xml:space="preserve">art. 40 din Anexa la H.G. nr. 395/2016, </w:t>
            </w:r>
            <w:r w:rsidR="0066124B" w:rsidRPr="009B7265">
              <w:rPr>
                <w:rFonts w:ascii="Times New Roman" w:hAnsi="Times New Roman" w:cs="Times New Roman"/>
                <w:bCs/>
                <w:sz w:val="20"/>
                <w:szCs w:val="20"/>
              </w:rPr>
              <w:t>, cu modificările și completările ulterioare</w:t>
            </w:r>
            <w:r w:rsidR="00212525" w:rsidRPr="009B7265">
              <w:rPr>
                <w:rFonts w:ascii="Times New Roman" w:hAnsi="Times New Roman" w:cs="Times New Roman"/>
                <w:bCs/>
                <w:sz w:val="20"/>
                <w:szCs w:val="20"/>
              </w:rPr>
              <w:t>.</w:t>
            </w:r>
          </w:p>
        </w:tc>
      </w:tr>
    </w:tbl>
    <w:p w14:paraId="65CF2F43" w14:textId="58FF1236" w:rsidR="00021A37" w:rsidRPr="009B7265" w:rsidRDefault="00021A37" w:rsidP="00DC6CE5">
      <w:pPr>
        <w:spacing w:after="0" w:line="240" w:lineRule="auto"/>
        <w:ind w:left="1"/>
        <w:contextualSpacing/>
        <w:jc w:val="both"/>
        <w:rPr>
          <w:rFonts w:ascii="Times New Roman" w:hAnsi="Times New Roman" w:cs="Times New Roman"/>
          <w:sz w:val="20"/>
          <w:szCs w:val="20"/>
        </w:rPr>
      </w:pPr>
    </w:p>
    <w:sectPr w:rsidR="00021A37" w:rsidRPr="009B7265" w:rsidSect="00021A37">
      <w:footerReference w:type="defaul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D7A63" w14:textId="77777777" w:rsidR="00D6502D" w:rsidRDefault="00D6502D">
      <w:pPr>
        <w:spacing w:after="0" w:line="240" w:lineRule="auto"/>
      </w:pPr>
      <w:r>
        <w:separator/>
      </w:r>
    </w:p>
  </w:endnote>
  <w:endnote w:type="continuationSeparator" w:id="0">
    <w:p w14:paraId="490A5F8B" w14:textId="77777777" w:rsidR="00D6502D" w:rsidRDefault="00D6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079895"/>
      <w:docPartObj>
        <w:docPartGallery w:val="Page Numbers (Bottom of Page)"/>
        <w:docPartUnique/>
      </w:docPartObj>
    </w:sdtPr>
    <w:sdtEndPr>
      <w:rPr>
        <w:noProof/>
      </w:rPr>
    </w:sdtEndPr>
    <w:sdtContent>
      <w:p w14:paraId="479F5F6A" w14:textId="7F524404" w:rsidR="00C05AA3" w:rsidRDefault="00C05AA3">
        <w:pPr>
          <w:pStyle w:val="Footer"/>
          <w:jc w:val="right"/>
        </w:pPr>
        <w:r>
          <w:fldChar w:fldCharType="begin"/>
        </w:r>
        <w:r>
          <w:instrText xml:space="preserve"> PAGE   \* MERGEFORMAT </w:instrText>
        </w:r>
        <w:r>
          <w:fldChar w:fldCharType="separate"/>
        </w:r>
        <w:r w:rsidR="006F4889">
          <w:rPr>
            <w:noProof/>
          </w:rPr>
          <w:t>4</w:t>
        </w:r>
        <w:r>
          <w:rPr>
            <w:noProof/>
          </w:rPr>
          <w:fldChar w:fldCharType="end"/>
        </w:r>
      </w:p>
    </w:sdtContent>
  </w:sdt>
  <w:p w14:paraId="20CEE2B3" w14:textId="77777777" w:rsidR="00C05AA3" w:rsidRDefault="00C05A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778312"/>
      <w:docPartObj>
        <w:docPartGallery w:val="Page Numbers (Bottom of Page)"/>
        <w:docPartUnique/>
      </w:docPartObj>
    </w:sdtPr>
    <w:sdtEndPr>
      <w:rPr>
        <w:noProof/>
      </w:rPr>
    </w:sdtEndPr>
    <w:sdtContent>
      <w:p w14:paraId="4E95B22D" w14:textId="61362BC7" w:rsidR="001133FA" w:rsidRDefault="001133FA">
        <w:pPr>
          <w:pStyle w:val="Footer"/>
          <w:jc w:val="center"/>
        </w:pPr>
        <w:r>
          <w:fldChar w:fldCharType="begin"/>
        </w:r>
        <w:r>
          <w:instrText xml:space="preserve"> PAGE   \* MERGEFORMAT </w:instrText>
        </w:r>
        <w:r>
          <w:fldChar w:fldCharType="separate"/>
        </w:r>
        <w:r w:rsidR="006F4889">
          <w:rPr>
            <w:noProof/>
          </w:rPr>
          <w:t>1</w:t>
        </w:r>
        <w:r>
          <w:rPr>
            <w:noProof/>
          </w:rPr>
          <w:fldChar w:fldCharType="end"/>
        </w:r>
      </w:p>
    </w:sdtContent>
  </w:sdt>
  <w:p w14:paraId="7D422EB6" w14:textId="77777777" w:rsidR="00C05AA3" w:rsidRDefault="00C05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60DFB" w14:textId="77777777" w:rsidR="00D6502D" w:rsidRDefault="00D6502D">
      <w:pPr>
        <w:spacing w:after="0" w:line="240" w:lineRule="auto"/>
      </w:pPr>
      <w:r>
        <w:separator/>
      </w:r>
    </w:p>
  </w:footnote>
  <w:footnote w:type="continuationSeparator" w:id="0">
    <w:p w14:paraId="2D1265EE" w14:textId="77777777" w:rsidR="00D6502D" w:rsidRDefault="00D65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2826AFA"/>
    <w:multiLevelType w:val="hybridMultilevel"/>
    <w:tmpl w:val="E61A1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96254"/>
    <w:multiLevelType w:val="hybridMultilevel"/>
    <w:tmpl w:val="0ACEE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D14C9"/>
    <w:multiLevelType w:val="hybridMultilevel"/>
    <w:tmpl w:val="F51CDDD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A1337DB"/>
    <w:multiLevelType w:val="hybridMultilevel"/>
    <w:tmpl w:val="A0CE994A"/>
    <w:lvl w:ilvl="0" w:tplc="04090017">
      <w:start w:val="1"/>
      <w:numFmt w:val="lowerLetter"/>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1D84A58"/>
    <w:multiLevelType w:val="hybridMultilevel"/>
    <w:tmpl w:val="9C700F76"/>
    <w:lvl w:ilvl="0" w:tplc="04090019">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2AA436C"/>
    <w:multiLevelType w:val="hybridMultilevel"/>
    <w:tmpl w:val="F51CDDD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6074D93"/>
    <w:multiLevelType w:val="hybridMultilevel"/>
    <w:tmpl w:val="DDB06A04"/>
    <w:lvl w:ilvl="0" w:tplc="72B876F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A585F"/>
    <w:multiLevelType w:val="hybridMultilevel"/>
    <w:tmpl w:val="D8E69E32"/>
    <w:lvl w:ilvl="0" w:tplc="04090019">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CA97B47"/>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2D6236EF"/>
    <w:multiLevelType w:val="multilevel"/>
    <w:tmpl w:val="B9B62A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nsid w:val="2E292371"/>
    <w:multiLevelType w:val="hybridMultilevel"/>
    <w:tmpl w:val="B596C1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915D9"/>
    <w:multiLevelType w:val="hybridMultilevel"/>
    <w:tmpl w:val="235E30C2"/>
    <w:lvl w:ilvl="0" w:tplc="4FA035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17F29"/>
    <w:multiLevelType w:val="hybridMultilevel"/>
    <w:tmpl w:val="F47CD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E85094"/>
    <w:multiLevelType w:val="hybridMultilevel"/>
    <w:tmpl w:val="EAE29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001D5"/>
    <w:multiLevelType w:val="multilevel"/>
    <w:tmpl w:val="A3240C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7">
    <w:nsid w:val="4BD021FA"/>
    <w:multiLevelType w:val="hybridMultilevel"/>
    <w:tmpl w:val="95C2D166"/>
    <w:lvl w:ilvl="0" w:tplc="5156C4B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6008E"/>
    <w:multiLevelType w:val="hybridMultilevel"/>
    <w:tmpl w:val="DD2692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223D1C"/>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436561F"/>
    <w:multiLevelType w:val="hybridMultilevel"/>
    <w:tmpl w:val="48160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C33E2"/>
    <w:multiLevelType w:val="hybridMultilevel"/>
    <w:tmpl w:val="5330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531B05"/>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5D194D88"/>
    <w:multiLevelType w:val="hybridMultilevel"/>
    <w:tmpl w:val="9A22700A"/>
    <w:lvl w:ilvl="0" w:tplc="440CFB0C">
      <w:start w:val="1"/>
      <w:numFmt w:val="upperRoman"/>
      <w:lvlText w:val="%1."/>
      <w:lvlJc w:val="left"/>
      <w:pPr>
        <w:ind w:left="1080" w:hanging="72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FB4C83"/>
    <w:multiLevelType w:val="hybridMultilevel"/>
    <w:tmpl w:val="88FCB7FE"/>
    <w:lvl w:ilvl="0" w:tplc="D7F0C066">
      <w:start w:val="1"/>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B1F4064"/>
    <w:multiLevelType w:val="hybridMultilevel"/>
    <w:tmpl w:val="1C30A0D0"/>
    <w:lvl w:ilvl="0" w:tplc="1DF8F92A">
      <w:start w:val="1"/>
      <w:numFmt w:val="bullet"/>
      <w:lvlText w:val="-"/>
      <w:lvlJc w:val="center"/>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2335F7C"/>
    <w:multiLevelType w:val="hybridMultilevel"/>
    <w:tmpl w:val="E9C2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7852B5"/>
    <w:multiLevelType w:val="hybridMultilevel"/>
    <w:tmpl w:val="3C24A4B2"/>
    <w:lvl w:ilvl="0" w:tplc="1DF8F92A">
      <w:start w:val="1"/>
      <w:numFmt w:val="bullet"/>
      <w:lvlText w:val="-"/>
      <w:lvlJc w:val="center"/>
      <w:pPr>
        <w:ind w:left="720" w:hanging="360"/>
      </w:pPr>
      <w:rPr>
        <w:rFonts w:ascii="Arial" w:hAnsi="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759E0DF1"/>
    <w:multiLevelType w:val="hybridMultilevel"/>
    <w:tmpl w:val="3840367C"/>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9F61F67"/>
    <w:multiLevelType w:val="hybridMultilevel"/>
    <w:tmpl w:val="D4125F14"/>
    <w:lvl w:ilvl="0" w:tplc="0409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2">
    <w:nsid w:val="7A600C75"/>
    <w:multiLevelType w:val="hybridMultilevel"/>
    <w:tmpl w:val="4094CF96"/>
    <w:lvl w:ilvl="0" w:tplc="6AACBCC8">
      <w:numFmt w:val="bullet"/>
      <w:lvlText w:val="-"/>
      <w:lvlJc w:val="left"/>
      <w:pPr>
        <w:ind w:left="2421" w:hanging="360"/>
      </w:pPr>
      <w:rPr>
        <w:rFonts w:ascii="Trebuchet MS" w:eastAsia="MS Mincho" w:hAnsi="Trebuchet MS"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3">
    <w:nsid w:val="7C093081"/>
    <w:multiLevelType w:val="hybridMultilevel"/>
    <w:tmpl w:val="144AE25E"/>
    <w:lvl w:ilvl="0" w:tplc="04090019">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4">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EF4365D"/>
    <w:multiLevelType w:val="hybridMultilevel"/>
    <w:tmpl w:val="F51CDDD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20"/>
  </w:num>
  <w:num w:numId="4">
    <w:abstractNumId w:val="0"/>
  </w:num>
  <w:num w:numId="5">
    <w:abstractNumId w:val="34"/>
  </w:num>
  <w:num w:numId="6">
    <w:abstractNumId w:val="32"/>
  </w:num>
  <w:num w:numId="7">
    <w:abstractNumId w:val="13"/>
  </w:num>
  <w:num w:numId="8">
    <w:abstractNumId w:val="2"/>
  </w:num>
  <w:num w:numId="9">
    <w:abstractNumId w:val="19"/>
  </w:num>
  <w:num w:numId="10">
    <w:abstractNumId w:val="23"/>
  </w:num>
  <w:num w:numId="11">
    <w:abstractNumId w:val="9"/>
  </w:num>
  <w:num w:numId="12">
    <w:abstractNumId w:val="30"/>
  </w:num>
  <w:num w:numId="13">
    <w:abstractNumId w:val="14"/>
  </w:num>
  <w:num w:numId="14">
    <w:abstractNumId w:val="28"/>
  </w:num>
  <w:num w:numId="15">
    <w:abstractNumId w:val="27"/>
  </w:num>
  <w:num w:numId="16">
    <w:abstractNumId w:val="35"/>
  </w:num>
  <w:num w:numId="17">
    <w:abstractNumId w:val="3"/>
  </w:num>
  <w:num w:numId="18">
    <w:abstractNumId w:val="7"/>
  </w:num>
  <w:num w:numId="19">
    <w:abstractNumId w:val="17"/>
  </w:num>
  <w:num w:numId="20">
    <w:abstractNumId w:val="33"/>
  </w:num>
  <w:num w:numId="21">
    <w:abstractNumId w:val="21"/>
  </w:num>
  <w:num w:numId="22">
    <w:abstractNumId w:val="11"/>
  </w:num>
  <w:num w:numId="23">
    <w:abstractNumId w:val="8"/>
  </w:num>
  <w:num w:numId="24">
    <w:abstractNumId w:val="12"/>
  </w:num>
  <w:num w:numId="25">
    <w:abstractNumId w:val="29"/>
  </w:num>
  <w:num w:numId="26">
    <w:abstractNumId w:val="31"/>
  </w:num>
  <w:num w:numId="27">
    <w:abstractNumId w:val="5"/>
  </w:num>
  <w:num w:numId="28">
    <w:abstractNumId w:val="4"/>
  </w:num>
  <w:num w:numId="29">
    <w:abstractNumId w:val="6"/>
  </w:num>
  <w:num w:numId="30">
    <w:abstractNumId w:val="15"/>
  </w:num>
  <w:num w:numId="31">
    <w:abstractNumId w:val="10"/>
  </w:num>
  <w:num w:numId="32">
    <w:abstractNumId w:val="25"/>
  </w:num>
  <w:num w:numId="33">
    <w:abstractNumId w:val="1"/>
  </w:num>
  <w:num w:numId="34">
    <w:abstractNumId w:val="18"/>
  </w:num>
  <w:num w:numId="35">
    <w:abstractNumId w:val="24"/>
  </w:num>
  <w:num w:numId="3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08BC"/>
    <w:rsid w:val="00005684"/>
    <w:rsid w:val="0000660F"/>
    <w:rsid w:val="0000724D"/>
    <w:rsid w:val="00010DD0"/>
    <w:rsid w:val="0001427B"/>
    <w:rsid w:val="00014323"/>
    <w:rsid w:val="00014A2E"/>
    <w:rsid w:val="00015151"/>
    <w:rsid w:val="0001544F"/>
    <w:rsid w:val="000162DE"/>
    <w:rsid w:val="00016427"/>
    <w:rsid w:val="000166E0"/>
    <w:rsid w:val="00017483"/>
    <w:rsid w:val="00020BBA"/>
    <w:rsid w:val="000210F6"/>
    <w:rsid w:val="0002121F"/>
    <w:rsid w:val="000213DB"/>
    <w:rsid w:val="00021A37"/>
    <w:rsid w:val="00021ABF"/>
    <w:rsid w:val="000236A5"/>
    <w:rsid w:val="0002373A"/>
    <w:rsid w:val="00023E4E"/>
    <w:rsid w:val="0002543C"/>
    <w:rsid w:val="00025D92"/>
    <w:rsid w:val="0002676D"/>
    <w:rsid w:val="00030C75"/>
    <w:rsid w:val="000314B7"/>
    <w:rsid w:val="00032000"/>
    <w:rsid w:val="00032588"/>
    <w:rsid w:val="000365DF"/>
    <w:rsid w:val="0003670D"/>
    <w:rsid w:val="00036799"/>
    <w:rsid w:val="00036F52"/>
    <w:rsid w:val="00041221"/>
    <w:rsid w:val="00042193"/>
    <w:rsid w:val="0004286C"/>
    <w:rsid w:val="00043AE7"/>
    <w:rsid w:val="00044F44"/>
    <w:rsid w:val="00047210"/>
    <w:rsid w:val="0004786C"/>
    <w:rsid w:val="00050857"/>
    <w:rsid w:val="000527CD"/>
    <w:rsid w:val="0005365A"/>
    <w:rsid w:val="000538EC"/>
    <w:rsid w:val="00053E36"/>
    <w:rsid w:val="00054050"/>
    <w:rsid w:val="00055297"/>
    <w:rsid w:val="00055DD9"/>
    <w:rsid w:val="00057679"/>
    <w:rsid w:val="000579FD"/>
    <w:rsid w:val="0006206A"/>
    <w:rsid w:val="00063888"/>
    <w:rsid w:val="000646D5"/>
    <w:rsid w:val="00065FB8"/>
    <w:rsid w:val="0006603A"/>
    <w:rsid w:val="00066B2D"/>
    <w:rsid w:val="000671CD"/>
    <w:rsid w:val="0006795D"/>
    <w:rsid w:val="00067CE2"/>
    <w:rsid w:val="00070A7A"/>
    <w:rsid w:val="00070BA0"/>
    <w:rsid w:val="0007191A"/>
    <w:rsid w:val="00071DE8"/>
    <w:rsid w:val="000727DA"/>
    <w:rsid w:val="00072A97"/>
    <w:rsid w:val="000764E9"/>
    <w:rsid w:val="0008076B"/>
    <w:rsid w:val="00081423"/>
    <w:rsid w:val="0008149E"/>
    <w:rsid w:val="0008269B"/>
    <w:rsid w:val="00083525"/>
    <w:rsid w:val="0008641B"/>
    <w:rsid w:val="00090A2D"/>
    <w:rsid w:val="00090A8D"/>
    <w:rsid w:val="00090ED4"/>
    <w:rsid w:val="00091C19"/>
    <w:rsid w:val="00091EE4"/>
    <w:rsid w:val="00093307"/>
    <w:rsid w:val="0009539C"/>
    <w:rsid w:val="000965AC"/>
    <w:rsid w:val="000969D7"/>
    <w:rsid w:val="00096D03"/>
    <w:rsid w:val="00096DA9"/>
    <w:rsid w:val="000A06D1"/>
    <w:rsid w:val="000A1343"/>
    <w:rsid w:val="000A2034"/>
    <w:rsid w:val="000A2762"/>
    <w:rsid w:val="000A2B6F"/>
    <w:rsid w:val="000A2DD5"/>
    <w:rsid w:val="000A3194"/>
    <w:rsid w:val="000A756F"/>
    <w:rsid w:val="000B0B56"/>
    <w:rsid w:val="000B1299"/>
    <w:rsid w:val="000B21D5"/>
    <w:rsid w:val="000B24C0"/>
    <w:rsid w:val="000B272D"/>
    <w:rsid w:val="000B57DF"/>
    <w:rsid w:val="000B6ABE"/>
    <w:rsid w:val="000C0801"/>
    <w:rsid w:val="000C0C43"/>
    <w:rsid w:val="000C1368"/>
    <w:rsid w:val="000C2516"/>
    <w:rsid w:val="000C6524"/>
    <w:rsid w:val="000C65AA"/>
    <w:rsid w:val="000C7334"/>
    <w:rsid w:val="000C7B08"/>
    <w:rsid w:val="000D1600"/>
    <w:rsid w:val="000D223C"/>
    <w:rsid w:val="000D250A"/>
    <w:rsid w:val="000D3A3B"/>
    <w:rsid w:val="000D3A61"/>
    <w:rsid w:val="000D6800"/>
    <w:rsid w:val="000D6CD7"/>
    <w:rsid w:val="000D7126"/>
    <w:rsid w:val="000D7349"/>
    <w:rsid w:val="000D73DA"/>
    <w:rsid w:val="000E2A1D"/>
    <w:rsid w:val="000E2D98"/>
    <w:rsid w:val="000E3C57"/>
    <w:rsid w:val="000E43F4"/>
    <w:rsid w:val="000E4493"/>
    <w:rsid w:val="000E469B"/>
    <w:rsid w:val="000E4B20"/>
    <w:rsid w:val="000E51A7"/>
    <w:rsid w:val="000E6A57"/>
    <w:rsid w:val="000F0FE7"/>
    <w:rsid w:val="000F145A"/>
    <w:rsid w:val="000F1942"/>
    <w:rsid w:val="000F39D3"/>
    <w:rsid w:val="000F68B4"/>
    <w:rsid w:val="000F7759"/>
    <w:rsid w:val="000F776A"/>
    <w:rsid w:val="001016E5"/>
    <w:rsid w:val="00103910"/>
    <w:rsid w:val="00103E23"/>
    <w:rsid w:val="00106166"/>
    <w:rsid w:val="00107394"/>
    <w:rsid w:val="001075C3"/>
    <w:rsid w:val="001076AD"/>
    <w:rsid w:val="001109D4"/>
    <w:rsid w:val="00110B7E"/>
    <w:rsid w:val="00111A4B"/>
    <w:rsid w:val="001120D4"/>
    <w:rsid w:val="00112A30"/>
    <w:rsid w:val="001133FA"/>
    <w:rsid w:val="0011394E"/>
    <w:rsid w:val="00113BB3"/>
    <w:rsid w:val="00113FA8"/>
    <w:rsid w:val="0011528D"/>
    <w:rsid w:val="0011540B"/>
    <w:rsid w:val="001154EB"/>
    <w:rsid w:val="00115D21"/>
    <w:rsid w:val="00116C48"/>
    <w:rsid w:val="001170C3"/>
    <w:rsid w:val="00117B0C"/>
    <w:rsid w:val="001203F0"/>
    <w:rsid w:val="00122361"/>
    <w:rsid w:val="001230D8"/>
    <w:rsid w:val="00123167"/>
    <w:rsid w:val="00123D24"/>
    <w:rsid w:val="00124007"/>
    <w:rsid w:val="001243A1"/>
    <w:rsid w:val="00124845"/>
    <w:rsid w:val="00125F0C"/>
    <w:rsid w:val="00126DAB"/>
    <w:rsid w:val="0013116D"/>
    <w:rsid w:val="00134BD5"/>
    <w:rsid w:val="00135093"/>
    <w:rsid w:val="00137597"/>
    <w:rsid w:val="00141514"/>
    <w:rsid w:val="00141FD2"/>
    <w:rsid w:val="00144121"/>
    <w:rsid w:val="00146DCD"/>
    <w:rsid w:val="001501AA"/>
    <w:rsid w:val="001513AA"/>
    <w:rsid w:val="00151820"/>
    <w:rsid w:val="00153406"/>
    <w:rsid w:val="00154EA9"/>
    <w:rsid w:val="001562C4"/>
    <w:rsid w:val="001563DF"/>
    <w:rsid w:val="00156830"/>
    <w:rsid w:val="00157D1D"/>
    <w:rsid w:val="001631C7"/>
    <w:rsid w:val="001633F7"/>
    <w:rsid w:val="00163601"/>
    <w:rsid w:val="00163676"/>
    <w:rsid w:val="0016430F"/>
    <w:rsid w:val="001648B7"/>
    <w:rsid w:val="00164A42"/>
    <w:rsid w:val="001701B4"/>
    <w:rsid w:val="001705FF"/>
    <w:rsid w:val="00170854"/>
    <w:rsid w:val="00170999"/>
    <w:rsid w:val="00173694"/>
    <w:rsid w:val="0017529E"/>
    <w:rsid w:val="00175FA7"/>
    <w:rsid w:val="001770B6"/>
    <w:rsid w:val="00177B20"/>
    <w:rsid w:val="001802AE"/>
    <w:rsid w:val="00180516"/>
    <w:rsid w:val="0018131B"/>
    <w:rsid w:val="00182643"/>
    <w:rsid w:val="00182AE3"/>
    <w:rsid w:val="001831BF"/>
    <w:rsid w:val="001850A6"/>
    <w:rsid w:val="0018559B"/>
    <w:rsid w:val="001875D8"/>
    <w:rsid w:val="00187CC0"/>
    <w:rsid w:val="0019085F"/>
    <w:rsid w:val="00193E5A"/>
    <w:rsid w:val="001941EA"/>
    <w:rsid w:val="00196739"/>
    <w:rsid w:val="001A00CE"/>
    <w:rsid w:val="001A0AE5"/>
    <w:rsid w:val="001A2579"/>
    <w:rsid w:val="001A493B"/>
    <w:rsid w:val="001B0C05"/>
    <w:rsid w:val="001B18D9"/>
    <w:rsid w:val="001B2217"/>
    <w:rsid w:val="001B238D"/>
    <w:rsid w:val="001B2CAC"/>
    <w:rsid w:val="001B3D66"/>
    <w:rsid w:val="001B49B9"/>
    <w:rsid w:val="001B58C6"/>
    <w:rsid w:val="001C0481"/>
    <w:rsid w:val="001C170B"/>
    <w:rsid w:val="001C2A4D"/>
    <w:rsid w:val="001C2D8D"/>
    <w:rsid w:val="001C306C"/>
    <w:rsid w:val="001C3177"/>
    <w:rsid w:val="001C423E"/>
    <w:rsid w:val="001C426F"/>
    <w:rsid w:val="001C4658"/>
    <w:rsid w:val="001C5736"/>
    <w:rsid w:val="001C5A16"/>
    <w:rsid w:val="001C5C57"/>
    <w:rsid w:val="001C798C"/>
    <w:rsid w:val="001D06AB"/>
    <w:rsid w:val="001D285A"/>
    <w:rsid w:val="001D3D5C"/>
    <w:rsid w:val="001D4204"/>
    <w:rsid w:val="001D6018"/>
    <w:rsid w:val="001D6226"/>
    <w:rsid w:val="001D6A94"/>
    <w:rsid w:val="001D6DE9"/>
    <w:rsid w:val="001D7094"/>
    <w:rsid w:val="001E137F"/>
    <w:rsid w:val="001E2238"/>
    <w:rsid w:val="001E2B2E"/>
    <w:rsid w:val="001E3158"/>
    <w:rsid w:val="001E373D"/>
    <w:rsid w:val="001E3BB0"/>
    <w:rsid w:val="001E64E6"/>
    <w:rsid w:val="001E7472"/>
    <w:rsid w:val="001E7C81"/>
    <w:rsid w:val="001E7EA8"/>
    <w:rsid w:val="001F0476"/>
    <w:rsid w:val="001F4EF0"/>
    <w:rsid w:val="001F630C"/>
    <w:rsid w:val="001F6B6D"/>
    <w:rsid w:val="00201225"/>
    <w:rsid w:val="002016C2"/>
    <w:rsid w:val="0020231B"/>
    <w:rsid w:val="002028C7"/>
    <w:rsid w:val="00202E3D"/>
    <w:rsid w:val="002039A3"/>
    <w:rsid w:val="00204737"/>
    <w:rsid w:val="002062AB"/>
    <w:rsid w:val="0020772E"/>
    <w:rsid w:val="002116D9"/>
    <w:rsid w:val="00211B3A"/>
    <w:rsid w:val="00212525"/>
    <w:rsid w:val="002143DC"/>
    <w:rsid w:val="0021611B"/>
    <w:rsid w:val="00216C62"/>
    <w:rsid w:val="00217C4D"/>
    <w:rsid w:val="00222359"/>
    <w:rsid w:val="00222C59"/>
    <w:rsid w:val="0022703B"/>
    <w:rsid w:val="0022756D"/>
    <w:rsid w:val="002278E5"/>
    <w:rsid w:val="00227DFD"/>
    <w:rsid w:val="002301BA"/>
    <w:rsid w:val="00230762"/>
    <w:rsid w:val="00230FCC"/>
    <w:rsid w:val="00232655"/>
    <w:rsid w:val="00232C4A"/>
    <w:rsid w:val="00233307"/>
    <w:rsid w:val="002346E8"/>
    <w:rsid w:val="00236744"/>
    <w:rsid w:val="0023678A"/>
    <w:rsid w:val="002367D6"/>
    <w:rsid w:val="00240C83"/>
    <w:rsid w:val="0024169C"/>
    <w:rsid w:val="00243306"/>
    <w:rsid w:val="00243B05"/>
    <w:rsid w:val="0024630E"/>
    <w:rsid w:val="00246884"/>
    <w:rsid w:val="00246DF6"/>
    <w:rsid w:val="00247629"/>
    <w:rsid w:val="00247B14"/>
    <w:rsid w:val="00250003"/>
    <w:rsid w:val="00250760"/>
    <w:rsid w:val="00250FAF"/>
    <w:rsid w:val="00251501"/>
    <w:rsid w:val="00254159"/>
    <w:rsid w:val="002552E4"/>
    <w:rsid w:val="002577B0"/>
    <w:rsid w:val="0026035F"/>
    <w:rsid w:val="00260A3A"/>
    <w:rsid w:val="00261120"/>
    <w:rsid w:val="00261E95"/>
    <w:rsid w:val="00263630"/>
    <w:rsid w:val="00263779"/>
    <w:rsid w:val="00263C9D"/>
    <w:rsid w:val="0026409D"/>
    <w:rsid w:val="0026541E"/>
    <w:rsid w:val="002655C1"/>
    <w:rsid w:val="00265AAE"/>
    <w:rsid w:val="00265CDD"/>
    <w:rsid w:val="00266486"/>
    <w:rsid w:val="0026756D"/>
    <w:rsid w:val="002701E7"/>
    <w:rsid w:val="0027028B"/>
    <w:rsid w:val="002707A3"/>
    <w:rsid w:val="00270A16"/>
    <w:rsid w:val="0027174D"/>
    <w:rsid w:val="00275D95"/>
    <w:rsid w:val="002769B7"/>
    <w:rsid w:val="00277216"/>
    <w:rsid w:val="00277AA5"/>
    <w:rsid w:val="00277FCC"/>
    <w:rsid w:val="002805DA"/>
    <w:rsid w:val="0028167C"/>
    <w:rsid w:val="00281B01"/>
    <w:rsid w:val="002821AC"/>
    <w:rsid w:val="00286832"/>
    <w:rsid w:val="002904AD"/>
    <w:rsid w:val="00291E91"/>
    <w:rsid w:val="002932EC"/>
    <w:rsid w:val="00293C89"/>
    <w:rsid w:val="00293F59"/>
    <w:rsid w:val="002971D0"/>
    <w:rsid w:val="002A0BEF"/>
    <w:rsid w:val="002A1053"/>
    <w:rsid w:val="002A1C97"/>
    <w:rsid w:val="002A22E3"/>
    <w:rsid w:val="002A3347"/>
    <w:rsid w:val="002A3909"/>
    <w:rsid w:val="002A49E1"/>
    <w:rsid w:val="002A4D41"/>
    <w:rsid w:val="002A52A9"/>
    <w:rsid w:val="002A7ADA"/>
    <w:rsid w:val="002B284A"/>
    <w:rsid w:val="002B39FD"/>
    <w:rsid w:val="002B3AF3"/>
    <w:rsid w:val="002B3C59"/>
    <w:rsid w:val="002B49E3"/>
    <w:rsid w:val="002B5E3D"/>
    <w:rsid w:val="002C1695"/>
    <w:rsid w:val="002C1ADF"/>
    <w:rsid w:val="002C390B"/>
    <w:rsid w:val="002C3E08"/>
    <w:rsid w:val="002C7789"/>
    <w:rsid w:val="002D03EF"/>
    <w:rsid w:val="002D0C83"/>
    <w:rsid w:val="002D2C1D"/>
    <w:rsid w:val="002D3349"/>
    <w:rsid w:val="002D5C83"/>
    <w:rsid w:val="002D791E"/>
    <w:rsid w:val="002D7A50"/>
    <w:rsid w:val="002D7CA6"/>
    <w:rsid w:val="002E3076"/>
    <w:rsid w:val="002E3AA5"/>
    <w:rsid w:val="002E4CB6"/>
    <w:rsid w:val="002E50CE"/>
    <w:rsid w:val="002F0688"/>
    <w:rsid w:val="002F0B9D"/>
    <w:rsid w:val="002F2400"/>
    <w:rsid w:val="002F28FC"/>
    <w:rsid w:val="002F2B1B"/>
    <w:rsid w:val="002F34A8"/>
    <w:rsid w:val="002F3572"/>
    <w:rsid w:val="002F3A32"/>
    <w:rsid w:val="002F3F1A"/>
    <w:rsid w:val="002F52BE"/>
    <w:rsid w:val="002F5BC4"/>
    <w:rsid w:val="002F67AE"/>
    <w:rsid w:val="002F67D1"/>
    <w:rsid w:val="002F6EF6"/>
    <w:rsid w:val="002F7F72"/>
    <w:rsid w:val="00301BF6"/>
    <w:rsid w:val="00302576"/>
    <w:rsid w:val="0030333A"/>
    <w:rsid w:val="00303B8B"/>
    <w:rsid w:val="00303DDB"/>
    <w:rsid w:val="00304175"/>
    <w:rsid w:val="00306142"/>
    <w:rsid w:val="003070A3"/>
    <w:rsid w:val="00310015"/>
    <w:rsid w:val="003105D2"/>
    <w:rsid w:val="00310C3A"/>
    <w:rsid w:val="003135CF"/>
    <w:rsid w:val="00313611"/>
    <w:rsid w:val="0031389D"/>
    <w:rsid w:val="00313CD9"/>
    <w:rsid w:val="00315E32"/>
    <w:rsid w:val="00316DBE"/>
    <w:rsid w:val="003226D4"/>
    <w:rsid w:val="003247E4"/>
    <w:rsid w:val="003249ED"/>
    <w:rsid w:val="00324AE5"/>
    <w:rsid w:val="00324DEA"/>
    <w:rsid w:val="00325672"/>
    <w:rsid w:val="00330A29"/>
    <w:rsid w:val="003314C6"/>
    <w:rsid w:val="0033364A"/>
    <w:rsid w:val="00333658"/>
    <w:rsid w:val="00333945"/>
    <w:rsid w:val="003356E1"/>
    <w:rsid w:val="00335727"/>
    <w:rsid w:val="00340291"/>
    <w:rsid w:val="003416CA"/>
    <w:rsid w:val="00342C11"/>
    <w:rsid w:val="00342F1C"/>
    <w:rsid w:val="003434F7"/>
    <w:rsid w:val="00344528"/>
    <w:rsid w:val="0034522D"/>
    <w:rsid w:val="00346A8B"/>
    <w:rsid w:val="003471D8"/>
    <w:rsid w:val="00351F50"/>
    <w:rsid w:val="00353D0D"/>
    <w:rsid w:val="00356430"/>
    <w:rsid w:val="003567C1"/>
    <w:rsid w:val="00357757"/>
    <w:rsid w:val="00360856"/>
    <w:rsid w:val="00363376"/>
    <w:rsid w:val="003633CD"/>
    <w:rsid w:val="00363AD3"/>
    <w:rsid w:val="00364D03"/>
    <w:rsid w:val="00364E89"/>
    <w:rsid w:val="00366B85"/>
    <w:rsid w:val="00367598"/>
    <w:rsid w:val="00367AC0"/>
    <w:rsid w:val="003706C3"/>
    <w:rsid w:val="0037234F"/>
    <w:rsid w:val="00372A1A"/>
    <w:rsid w:val="00373B7F"/>
    <w:rsid w:val="00374088"/>
    <w:rsid w:val="003741CE"/>
    <w:rsid w:val="00380B44"/>
    <w:rsid w:val="0038181B"/>
    <w:rsid w:val="00383146"/>
    <w:rsid w:val="00384193"/>
    <w:rsid w:val="003856F0"/>
    <w:rsid w:val="00386A0C"/>
    <w:rsid w:val="00390F14"/>
    <w:rsid w:val="003919A2"/>
    <w:rsid w:val="003943BB"/>
    <w:rsid w:val="00395ED8"/>
    <w:rsid w:val="003A0169"/>
    <w:rsid w:val="003A0BD7"/>
    <w:rsid w:val="003A1155"/>
    <w:rsid w:val="003A16E3"/>
    <w:rsid w:val="003A1969"/>
    <w:rsid w:val="003A37EE"/>
    <w:rsid w:val="003A44C3"/>
    <w:rsid w:val="003A4C65"/>
    <w:rsid w:val="003A531C"/>
    <w:rsid w:val="003A5839"/>
    <w:rsid w:val="003A5C57"/>
    <w:rsid w:val="003A5D94"/>
    <w:rsid w:val="003A6C56"/>
    <w:rsid w:val="003A769D"/>
    <w:rsid w:val="003B0122"/>
    <w:rsid w:val="003B1245"/>
    <w:rsid w:val="003B1403"/>
    <w:rsid w:val="003B1BD2"/>
    <w:rsid w:val="003B25AF"/>
    <w:rsid w:val="003B2C5A"/>
    <w:rsid w:val="003B38F9"/>
    <w:rsid w:val="003B50B8"/>
    <w:rsid w:val="003B6D99"/>
    <w:rsid w:val="003C0CE0"/>
    <w:rsid w:val="003C2D47"/>
    <w:rsid w:val="003C3BA2"/>
    <w:rsid w:val="003C4355"/>
    <w:rsid w:val="003C5509"/>
    <w:rsid w:val="003C5ABC"/>
    <w:rsid w:val="003C5BBB"/>
    <w:rsid w:val="003C5C60"/>
    <w:rsid w:val="003D0753"/>
    <w:rsid w:val="003D0C5E"/>
    <w:rsid w:val="003D1FBF"/>
    <w:rsid w:val="003D484F"/>
    <w:rsid w:val="003D55C7"/>
    <w:rsid w:val="003D6227"/>
    <w:rsid w:val="003D626D"/>
    <w:rsid w:val="003D7673"/>
    <w:rsid w:val="003E0564"/>
    <w:rsid w:val="003E157B"/>
    <w:rsid w:val="003E22B2"/>
    <w:rsid w:val="003E285B"/>
    <w:rsid w:val="003E30A6"/>
    <w:rsid w:val="003E36ED"/>
    <w:rsid w:val="003E4483"/>
    <w:rsid w:val="003E5F31"/>
    <w:rsid w:val="003F0094"/>
    <w:rsid w:val="003F114F"/>
    <w:rsid w:val="003F32BC"/>
    <w:rsid w:val="003F414C"/>
    <w:rsid w:val="003F468E"/>
    <w:rsid w:val="003F48D0"/>
    <w:rsid w:val="003F60F4"/>
    <w:rsid w:val="003F6440"/>
    <w:rsid w:val="004011A2"/>
    <w:rsid w:val="00401705"/>
    <w:rsid w:val="00402988"/>
    <w:rsid w:val="00402AFE"/>
    <w:rsid w:val="004044E0"/>
    <w:rsid w:val="00404B56"/>
    <w:rsid w:val="00404DE6"/>
    <w:rsid w:val="00406111"/>
    <w:rsid w:val="004063A3"/>
    <w:rsid w:val="004073BC"/>
    <w:rsid w:val="00407D9F"/>
    <w:rsid w:val="00410769"/>
    <w:rsid w:val="00410BAD"/>
    <w:rsid w:val="00410DF8"/>
    <w:rsid w:val="0041145D"/>
    <w:rsid w:val="00411D17"/>
    <w:rsid w:val="00413982"/>
    <w:rsid w:val="004208DA"/>
    <w:rsid w:val="004221EB"/>
    <w:rsid w:val="00425B58"/>
    <w:rsid w:val="00426BB3"/>
    <w:rsid w:val="00431979"/>
    <w:rsid w:val="004345E0"/>
    <w:rsid w:val="00434A3D"/>
    <w:rsid w:val="00434CD6"/>
    <w:rsid w:val="004366A2"/>
    <w:rsid w:val="00436BB8"/>
    <w:rsid w:val="00437604"/>
    <w:rsid w:val="0044052B"/>
    <w:rsid w:val="00440E57"/>
    <w:rsid w:val="00441C31"/>
    <w:rsid w:val="004424F1"/>
    <w:rsid w:val="004462B1"/>
    <w:rsid w:val="00446317"/>
    <w:rsid w:val="004463FA"/>
    <w:rsid w:val="004464DB"/>
    <w:rsid w:val="0044758B"/>
    <w:rsid w:val="00447B68"/>
    <w:rsid w:val="004500C3"/>
    <w:rsid w:val="004502C1"/>
    <w:rsid w:val="00450A3E"/>
    <w:rsid w:val="004516FB"/>
    <w:rsid w:val="00451837"/>
    <w:rsid w:val="004528FD"/>
    <w:rsid w:val="00452A2C"/>
    <w:rsid w:val="00453487"/>
    <w:rsid w:val="004536FD"/>
    <w:rsid w:val="004538CA"/>
    <w:rsid w:val="00453951"/>
    <w:rsid w:val="004542E1"/>
    <w:rsid w:val="00454313"/>
    <w:rsid w:val="004544AD"/>
    <w:rsid w:val="00454AD6"/>
    <w:rsid w:val="00455653"/>
    <w:rsid w:val="00455A36"/>
    <w:rsid w:val="00456744"/>
    <w:rsid w:val="004575C1"/>
    <w:rsid w:val="0045769D"/>
    <w:rsid w:val="00457830"/>
    <w:rsid w:val="00457D01"/>
    <w:rsid w:val="00461A8E"/>
    <w:rsid w:val="00462768"/>
    <w:rsid w:val="00462A74"/>
    <w:rsid w:val="0046317E"/>
    <w:rsid w:val="00463B07"/>
    <w:rsid w:val="0046449C"/>
    <w:rsid w:val="00464B7A"/>
    <w:rsid w:val="004665DD"/>
    <w:rsid w:val="004670C0"/>
    <w:rsid w:val="00471167"/>
    <w:rsid w:val="00473D28"/>
    <w:rsid w:val="00474A35"/>
    <w:rsid w:val="004752F0"/>
    <w:rsid w:val="00475908"/>
    <w:rsid w:val="00476FE0"/>
    <w:rsid w:val="00477233"/>
    <w:rsid w:val="00480ADB"/>
    <w:rsid w:val="00483071"/>
    <w:rsid w:val="00485ED5"/>
    <w:rsid w:val="004921CB"/>
    <w:rsid w:val="00493B48"/>
    <w:rsid w:val="004944AC"/>
    <w:rsid w:val="004964CB"/>
    <w:rsid w:val="0049772D"/>
    <w:rsid w:val="004A03CD"/>
    <w:rsid w:val="004A2289"/>
    <w:rsid w:val="004A3342"/>
    <w:rsid w:val="004A340B"/>
    <w:rsid w:val="004A39FC"/>
    <w:rsid w:val="004A3DAC"/>
    <w:rsid w:val="004A459D"/>
    <w:rsid w:val="004A4EF7"/>
    <w:rsid w:val="004A616E"/>
    <w:rsid w:val="004A6D70"/>
    <w:rsid w:val="004B0DB7"/>
    <w:rsid w:val="004B1062"/>
    <w:rsid w:val="004B1F07"/>
    <w:rsid w:val="004B2485"/>
    <w:rsid w:val="004B3995"/>
    <w:rsid w:val="004B44EB"/>
    <w:rsid w:val="004B465C"/>
    <w:rsid w:val="004B4830"/>
    <w:rsid w:val="004B5E08"/>
    <w:rsid w:val="004B63B9"/>
    <w:rsid w:val="004B6A05"/>
    <w:rsid w:val="004B714B"/>
    <w:rsid w:val="004C1680"/>
    <w:rsid w:val="004C2F03"/>
    <w:rsid w:val="004C30EC"/>
    <w:rsid w:val="004C31C3"/>
    <w:rsid w:val="004C569D"/>
    <w:rsid w:val="004C7D38"/>
    <w:rsid w:val="004D007E"/>
    <w:rsid w:val="004D28A1"/>
    <w:rsid w:val="004D2AA6"/>
    <w:rsid w:val="004D35B9"/>
    <w:rsid w:val="004D41A6"/>
    <w:rsid w:val="004D41C9"/>
    <w:rsid w:val="004D5F0D"/>
    <w:rsid w:val="004D5F52"/>
    <w:rsid w:val="004D7617"/>
    <w:rsid w:val="004E213F"/>
    <w:rsid w:val="004E27A6"/>
    <w:rsid w:val="004E2F3A"/>
    <w:rsid w:val="004E321B"/>
    <w:rsid w:val="004E3AB0"/>
    <w:rsid w:val="004E4340"/>
    <w:rsid w:val="004E521E"/>
    <w:rsid w:val="004E5572"/>
    <w:rsid w:val="004E6A94"/>
    <w:rsid w:val="004E7573"/>
    <w:rsid w:val="004E7B3F"/>
    <w:rsid w:val="004F2D6E"/>
    <w:rsid w:val="004F358C"/>
    <w:rsid w:val="004F35D3"/>
    <w:rsid w:val="004F373D"/>
    <w:rsid w:val="004F6CBC"/>
    <w:rsid w:val="00500D4D"/>
    <w:rsid w:val="00501BD6"/>
    <w:rsid w:val="0050252C"/>
    <w:rsid w:val="00503DA3"/>
    <w:rsid w:val="00504B73"/>
    <w:rsid w:val="00507E9E"/>
    <w:rsid w:val="00510148"/>
    <w:rsid w:val="00511DFC"/>
    <w:rsid w:val="00512897"/>
    <w:rsid w:val="00512C1F"/>
    <w:rsid w:val="005138B7"/>
    <w:rsid w:val="0051456A"/>
    <w:rsid w:val="0051513D"/>
    <w:rsid w:val="0051576D"/>
    <w:rsid w:val="00521A5E"/>
    <w:rsid w:val="00524ED1"/>
    <w:rsid w:val="005267A9"/>
    <w:rsid w:val="005272D0"/>
    <w:rsid w:val="00527A86"/>
    <w:rsid w:val="005300B4"/>
    <w:rsid w:val="0053010D"/>
    <w:rsid w:val="005304CD"/>
    <w:rsid w:val="00530DC2"/>
    <w:rsid w:val="00530F1A"/>
    <w:rsid w:val="0053148F"/>
    <w:rsid w:val="005336A6"/>
    <w:rsid w:val="00533F84"/>
    <w:rsid w:val="00535BFA"/>
    <w:rsid w:val="005418AB"/>
    <w:rsid w:val="00541B08"/>
    <w:rsid w:val="005434A1"/>
    <w:rsid w:val="0054475D"/>
    <w:rsid w:val="0054522C"/>
    <w:rsid w:val="00545AA9"/>
    <w:rsid w:val="0054649F"/>
    <w:rsid w:val="00546572"/>
    <w:rsid w:val="00546F79"/>
    <w:rsid w:val="0054714D"/>
    <w:rsid w:val="00551ACD"/>
    <w:rsid w:val="00552881"/>
    <w:rsid w:val="00552D80"/>
    <w:rsid w:val="0055314F"/>
    <w:rsid w:val="00554CAA"/>
    <w:rsid w:val="00554D92"/>
    <w:rsid w:val="00556FBB"/>
    <w:rsid w:val="00560100"/>
    <w:rsid w:val="00560950"/>
    <w:rsid w:val="00561BA9"/>
    <w:rsid w:val="00562194"/>
    <w:rsid w:val="00562A45"/>
    <w:rsid w:val="00562E48"/>
    <w:rsid w:val="00565B9D"/>
    <w:rsid w:val="00567427"/>
    <w:rsid w:val="005700CE"/>
    <w:rsid w:val="00570B67"/>
    <w:rsid w:val="00572CF3"/>
    <w:rsid w:val="0057444A"/>
    <w:rsid w:val="00575371"/>
    <w:rsid w:val="0057591F"/>
    <w:rsid w:val="005808F4"/>
    <w:rsid w:val="00580F71"/>
    <w:rsid w:val="00581EE3"/>
    <w:rsid w:val="0058233F"/>
    <w:rsid w:val="005839BC"/>
    <w:rsid w:val="00584522"/>
    <w:rsid w:val="00585931"/>
    <w:rsid w:val="00585CFF"/>
    <w:rsid w:val="00586A40"/>
    <w:rsid w:val="00587C36"/>
    <w:rsid w:val="0059075A"/>
    <w:rsid w:val="00590AF5"/>
    <w:rsid w:val="00591984"/>
    <w:rsid w:val="00592E28"/>
    <w:rsid w:val="005930AF"/>
    <w:rsid w:val="0059332B"/>
    <w:rsid w:val="005935C5"/>
    <w:rsid w:val="00594099"/>
    <w:rsid w:val="0059490F"/>
    <w:rsid w:val="00594A21"/>
    <w:rsid w:val="0059637E"/>
    <w:rsid w:val="00596720"/>
    <w:rsid w:val="00597E84"/>
    <w:rsid w:val="005A09D5"/>
    <w:rsid w:val="005A32E5"/>
    <w:rsid w:val="005A3C85"/>
    <w:rsid w:val="005A4511"/>
    <w:rsid w:val="005A489C"/>
    <w:rsid w:val="005A7036"/>
    <w:rsid w:val="005A7FC8"/>
    <w:rsid w:val="005B2ED9"/>
    <w:rsid w:val="005B2F9F"/>
    <w:rsid w:val="005B37CD"/>
    <w:rsid w:val="005B47EA"/>
    <w:rsid w:val="005B4910"/>
    <w:rsid w:val="005B4CDE"/>
    <w:rsid w:val="005B7AC0"/>
    <w:rsid w:val="005C2370"/>
    <w:rsid w:val="005C3C6A"/>
    <w:rsid w:val="005C4584"/>
    <w:rsid w:val="005C5083"/>
    <w:rsid w:val="005C577E"/>
    <w:rsid w:val="005C609C"/>
    <w:rsid w:val="005C7796"/>
    <w:rsid w:val="005D07EB"/>
    <w:rsid w:val="005D0A21"/>
    <w:rsid w:val="005D1026"/>
    <w:rsid w:val="005D1AE5"/>
    <w:rsid w:val="005D3106"/>
    <w:rsid w:val="005D58E3"/>
    <w:rsid w:val="005D6E60"/>
    <w:rsid w:val="005D78AD"/>
    <w:rsid w:val="005D7939"/>
    <w:rsid w:val="005D7E64"/>
    <w:rsid w:val="005E2127"/>
    <w:rsid w:val="005E3211"/>
    <w:rsid w:val="005E4C70"/>
    <w:rsid w:val="005E5D84"/>
    <w:rsid w:val="005E62BD"/>
    <w:rsid w:val="005E7515"/>
    <w:rsid w:val="005E7C51"/>
    <w:rsid w:val="005F1CEB"/>
    <w:rsid w:val="005F2917"/>
    <w:rsid w:val="005F3057"/>
    <w:rsid w:val="005F38B5"/>
    <w:rsid w:val="005F49F8"/>
    <w:rsid w:val="005F4CF5"/>
    <w:rsid w:val="005F5016"/>
    <w:rsid w:val="005F686F"/>
    <w:rsid w:val="006000CF"/>
    <w:rsid w:val="00600FEA"/>
    <w:rsid w:val="00601133"/>
    <w:rsid w:val="00601166"/>
    <w:rsid w:val="0060166F"/>
    <w:rsid w:val="0061125E"/>
    <w:rsid w:val="0061184E"/>
    <w:rsid w:val="00612991"/>
    <w:rsid w:val="0061456E"/>
    <w:rsid w:val="00614BF0"/>
    <w:rsid w:val="00616FF6"/>
    <w:rsid w:val="006202E7"/>
    <w:rsid w:val="0062073C"/>
    <w:rsid w:val="006211EF"/>
    <w:rsid w:val="006218CF"/>
    <w:rsid w:val="0062366E"/>
    <w:rsid w:val="0062556E"/>
    <w:rsid w:val="00625F6E"/>
    <w:rsid w:val="006270B9"/>
    <w:rsid w:val="006306FF"/>
    <w:rsid w:val="00630C51"/>
    <w:rsid w:val="00630D63"/>
    <w:rsid w:val="006312E0"/>
    <w:rsid w:val="0063381E"/>
    <w:rsid w:val="00634890"/>
    <w:rsid w:val="00634E59"/>
    <w:rsid w:val="006353A3"/>
    <w:rsid w:val="0063665C"/>
    <w:rsid w:val="00640910"/>
    <w:rsid w:val="00640A0E"/>
    <w:rsid w:val="00640B97"/>
    <w:rsid w:val="00640D4D"/>
    <w:rsid w:val="006417C3"/>
    <w:rsid w:val="006418FB"/>
    <w:rsid w:val="00643499"/>
    <w:rsid w:val="00646DAF"/>
    <w:rsid w:val="00646EDD"/>
    <w:rsid w:val="0064752E"/>
    <w:rsid w:val="00650380"/>
    <w:rsid w:val="00651013"/>
    <w:rsid w:val="00652C45"/>
    <w:rsid w:val="006533A7"/>
    <w:rsid w:val="00653AE0"/>
    <w:rsid w:val="006540D7"/>
    <w:rsid w:val="00654B64"/>
    <w:rsid w:val="0065547E"/>
    <w:rsid w:val="00655A87"/>
    <w:rsid w:val="006567B6"/>
    <w:rsid w:val="00657044"/>
    <w:rsid w:val="00657500"/>
    <w:rsid w:val="00657A32"/>
    <w:rsid w:val="00657C70"/>
    <w:rsid w:val="006602A3"/>
    <w:rsid w:val="00660423"/>
    <w:rsid w:val="006609C0"/>
    <w:rsid w:val="0066124B"/>
    <w:rsid w:val="006619A9"/>
    <w:rsid w:val="00661D32"/>
    <w:rsid w:val="006636F9"/>
    <w:rsid w:val="00663B33"/>
    <w:rsid w:val="00665B1E"/>
    <w:rsid w:val="00666C18"/>
    <w:rsid w:val="00667EA0"/>
    <w:rsid w:val="0067075A"/>
    <w:rsid w:val="006716B0"/>
    <w:rsid w:val="00671B2E"/>
    <w:rsid w:val="00674858"/>
    <w:rsid w:val="00674887"/>
    <w:rsid w:val="00675767"/>
    <w:rsid w:val="006760A3"/>
    <w:rsid w:val="00676153"/>
    <w:rsid w:val="0067723E"/>
    <w:rsid w:val="00681CD3"/>
    <w:rsid w:val="00682B97"/>
    <w:rsid w:val="00683602"/>
    <w:rsid w:val="00684FCB"/>
    <w:rsid w:val="00685B86"/>
    <w:rsid w:val="006876FF"/>
    <w:rsid w:val="00687D7E"/>
    <w:rsid w:val="00690CCC"/>
    <w:rsid w:val="00691500"/>
    <w:rsid w:val="00691FB4"/>
    <w:rsid w:val="006930D4"/>
    <w:rsid w:val="00697825"/>
    <w:rsid w:val="00697FA0"/>
    <w:rsid w:val="006A025C"/>
    <w:rsid w:val="006A08CB"/>
    <w:rsid w:val="006A2E2D"/>
    <w:rsid w:val="006A3E15"/>
    <w:rsid w:val="006A5BFF"/>
    <w:rsid w:val="006A6433"/>
    <w:rsid w:val="006A7172"/>
    <w:rsid w:val="006B0D65"/>
    <w:rsid w:val="006B11CF"/>
    <w:rsid w:val="006B1368"/>
    <w:rsid w:val="006B1A96"/>
    <w:rsid w:val="006B2669"/>
    <w:rsid w:val="006B3863"/>
    <w:rsid w:val="006B3C98"/>
    <w:rsid w:val="006B443D"/>
    <w:rsid w:val="006B6788"/>
    <w:rsid w:val="006B6E82"/>
    <w:rsid w:val="006C10D6"/>
    <w:rsid w:val="006C12A9"/>
    <w:rsid w:val="006C1FB6"/>
    <w:rsid w:val="006C2201"/>
    <w:rsid w:val="006C431C"/>
    <w:rsid w:val="006C751D"/>
    <w:rsid w:val="006C76CD"/>
    <w:rsid w:val="006C7C9E"/>
    <w:rsid w:val="006D1D7E"/>
    <w:rsid w:val="006D3115"/>
    <w:rsid w:val="006D3451"/>
    <w:rsid w:val="006D365C"/>
    <w:rsid w:val="006D3F28"/>
    <w:rsid w:val="006D52F9"/>
    <w:rsid w:val="006D6804"/>
    <w:rsid w:val="006D7060"/>
    <w:rsid w:val="006D7325"/>
    <w:rsid w:val="006E0188"/>
    <w:rsid w:val="006E2904"/>
    <w:rsid w:val="006E2D1C"/>
    <w:rsid w:val="006E30DD"/>
    <w:rsid w:val="006E5CDF"/>
    <w:rsid w:val="006E7D50"/>
    <w:rsid w:val="006F2EDF"/>
    <w:rsid w:val="006F4889"/>
    <w:rsid w:val="006F48C8"/>
    <w:rsid w:val="006F56EE"/>
    <w:rsid w:val="006F60B7"/>
    <w:rsid w:val="006F60D8"/>
    <w:rsid w:val="006F6A17"/>
    <w:rsid w:val="006F75DB"/>
    <w:rsid w:val="007011B8"/>
    <w:rsid w:val="00701F62"/>
    <w:rsid w:val="00704864"/>
    <w:rsid w:val="0070647F"/>
    <w:rsid w:val="007109AF"/>
    <w:rsid w:val="00710F10"/>
    <w:rsid w:val="0071345E"/>
    <w:rsid w:val="0071364E"/>
    <w:rsid w:val="007136AD"/>
    <w:rsid w:val="00715630"/>
    <w:rsid w:val="00716FE0"/>
    <w:rsid w:val="007202C1"/>
    <w:rsid w:val="0072144D"/>
    <w:rsid w:val="0072240A"/>
    <w:rsid w:val="00722CF5"/>
    <w:rsid w:val="00723D08"/>
    <w:rsid w:val="00724535"/>
    <w:rsid w:val="00724EE2"/>
    <w:rsid w:val="00730EDF"/>
    <w:rsid w:val="00731AD2"/>
    <w:rsid w:val="00733AF4"/>
    <w:rsid w:val="00733B83"/>
    <w:rsid w:val="00734078"/>
    <w:rsid w:val="007342C7"/>
    <w:rsid w:val="007354E9"/>
    <w:rsid w:val="00735FAF"/>
    <w:rsid w:val="007370E4"/>
    <w:rsid w:val="0073763C"/>
    <w:rsid w:val="00740419"/>
    <w:rsid w:val="0074056E"/>
    <w:rsid w:val="00740A8E"/>
    <w:rsid w:val="00740E4C"/>
    <w:rsid w:val="00743039"/>
    <w:rsid w:val="007455A6"/>
    <w:rsid w:val="0074561D"/>
    <w:rsid w:val="007462DF"/>
    <w:rsid w:val="00747043"/>
    <w:rsid w:val="0074766A"/>
    <w:rsid w:val="00750760"/>
    <w:rsid w:val="0075107A"/>
    <w:rsid w:val="0075305C"/>
    <w:rsid w:val="00753060"/>
    <w:rsid w:val="00753FD4"/>
    <w:rsid w:val="007549DC"/>
    <w:rsid w:val="0075526E"/>
    <w:rsid w:val="00761596"/>
    <w:rsid w:val="007617C4"/>
    <w:rsid w:val="007624BE"/>
    <w:rsid w:val="007642C6"/>
    <w:rsid w:val="0076461B"/>
    <w:rsid w:val="00764841"/>
    <w:rsid w:val="00764C40"/>
    <w:rsid w:val="00764EB2"/>
    <w:rsid w:val="007663E7"/>
    <w:rsid w:val="00767237"/>
    <w:rsid w:val="00767B3D"/>
    <w:rsid w:val="00771272"/>
    <w:rsid w:val="007720D0"/>
    <w:rsid w:val="00772414"/>
    <w:rsid w:val="00773F67"/>
    <w:rsid w:val="00774069"/>
    <w:rsid w:val="00775E57"/>
    <w:rsid w:val="00777B7D"/>
    <w:rsid w:val="00777F43"/>
    <w:rsid w:val="00782304"/>
    <w:rsid w:val="0078399D"/>
    <w:rsid w:val="00783FC6"/>
    <w:rsid w:val="00786725"/>
    <w:rsid w:val="00786926"/>
    <w:rsid w:val="00787B5B"/>
    <w:rsid w:val="00793B8F"/>
    <w:rsid w:val="00794915"/>
    <w:rsid w:val="00794D60"/>
    <w:rsid w:val="00795D8D"/>
    <w:rsid w:val="007962AD"/>
    <w:rsid w:val="00797459"/>
    <w:rsid w:val="007974C7"/>
    <w:rsid w:val="007A0B38"/>
    <w:rsid w:val="007A1C9B"/>
    <w:rsid w:val="007A3592"/>
    <w:rsid w:val="007A386D"/>
    <w:rsid w:val="007A6530"/>
    <w:rsid w:val="007A6985"/>
    <w:rsid w:val="007B0DB7"/>
    <w:rsid w:val="007B0FF3"/>
    <w:rsid w:val="007B242E"/>
    <w:rsid w:val="007B2E56"/>
    <w:rsid w:val="007B3845"/>
    <w:rsid w:val="007B3E1A"/>
    <w:rsid w:val="007B717B"/>
    <w:rsid w:val="007B7876"/>
    <w:rsid w:val="007B7A32"/>
    <w:rsid w:val="007B7E23"/>
    <w:rsid w:val="007C083B"/>
    <w:rsid w:val="007C0D67"/>
    <w:rsid w:val="007C19FF"/>
    <w:rsid w:val="007C25D1"/>
    <w:rsid w:val="007C3510"/>
    <w:rsid w:val="007C563D"/>
    <w:rsid w:val="007C56C5"/>
    <w:rsid w:val="007C69F8"/>
    <w:rsid w:val="007C715F"/>
    <w:rsid w:val="007C7217"/>
    <w:rsid w:val="007D06BB"/>
    <w:rsid w:val="007D10C7"/>
    <w:rsid w:val="007D2884"/>
    <w:rsid w:val="007D28C2"/>
    <w:rsid w:val="007D3E75"/>
    <w:rsid w:val="007D476A"/>
    <w:rsid w:val="007D6256"/>
    <w:rsid w:val="007D6A1A"/>
    <w:rsid w:val="007D6A82"/>
    <w:rsid w:val="007E0694"/>
    <w:rsid w:val="007E20FF"/>
    <w:rsid w:val="007E3391"/>
    <w:rsid w:val="007E3817"/>
    <w:rsid w:val="007E6934"/>
    <w:rsid w:val="007F3CA1"/>
    <w:rsid w:val="007F49F5"/>
    <w:rsid w:val="007F5FFD"/>
    <w:rsid w:val="007F60AC"/>
    <w:rsid w:val="007F7095"/>
    <w:rsid w:val="00801175"/>
    <w:rsid w:val="008023DB"/>
    <w:rsid w:val="00802B4D"/>
    <w:rsid w:val="00802C8D"/>
    <w:rsid w:val="0080357C"/>
    <w:rsid w:val="00807533"/>
    <w:rsid w:val="00810D6F"/>
    <w:rsid w:val="008117EA"/>
    <w:rsid w:val="00813A87"/>
    <w:rsid w:val="0081422F"/>
    <w:rsid w:val="00814D52"/>
    <w:rsid w:val="00814FCD"/>
    <w:rsid w:val="00815D23"/>
    <w:rsid w:val="00822670"/>
    <w:rsid w:val="00822719"/>
    <w:rsid w:val="00823C2C"/>
    <w:rsid w:val="00825EFA"/>
    <w:rsid w:val="00830681"/>
    <w:rsid w:val="00830E32"/>
    <w:rsid w:val="008310FB"/>
    <w:rsid w:val="008319BF"/>
    <w:rsid w:val="008339A8"/>
    <w:rsid w:val="00834897"/>
    <w:rsid w:val="008365CD"/>
    <w:rsid w:val="00836870"/>
    <w:rsid w:val="008406E5"/>
    <w:rsid w:val="00840AFE"/>
    <w:rsid w:val="008415A1"/>
    <w:rsid w:val="008435C9"/>
    <w:rsid w:val="00844F85"/>
    <w:rsid w:val="00845273"/>
    <w:rsid w:val="008457AF"/>
    <w:rsid w:val="00847402"/>
    <w:rsid w:val="00852597"/>
    <w:rsid w:val="00853A8F"/>
    <w:rsid w:val="00854028"/>
    <w:rsid w:val="008544CA"/>
    <w:rsid w:val="0085568B"/>
    <w:rsid w:val="00855B80"/>
    <w:rsid w:val="00855C91"/>
    <w:rsid w:val="00856CB4"/>
    <w:rsid w:val="00857489"/>
    <w:rsid w:val="00857711"/>
    <w:rsid w:val="008607DB"/>
    <w:rsid w:val="0086102C"/>
    <w:rsid w:val="0086154F"/>
    <w:rsid w:val="00862102"/>
    <w:rsid w:val="008658F4"/>
    <w:rsid w:val="008672A7"/>
    <w:rsid w:val="00867662"/>
    <w:rsid w:val="0087138C"/>
    <w:rsid w:val="00871919"/>
    <w:rsid w:val="0087258B"/>
    <w:rsid w:val="00874199"/>
    <w:rsid w:val="008745FF"/>
    <w:rsid w:val="0087491A"/>
    <w:rsid w:val="00874F45"/>
    <w:rsid w:val="0087583E"/>
    <w:rsid w:val="008762AD"/>
    <w:rsid w:val="008768CB"/>
    <w:rsid w:val="00880CDE"/>
    <w:rsid w:val="008817B3"/>
    <w:rsid w:val="0088316D"/>
    <w:rsid w:val="008839AC"/>
    <w:rsid w:val="00883FB1"/>
    <w:rsid w:val="00884214"/>
    <w:rsid w:val="00885850"/>
    <w:rsid w:val="00885927"/>
    <w:rsid w:val="0088787D"/>
    <w:rsid w:val="00887902"/>
    <w:rsid w:val="00887F56"/>
    <w:rsid w:val="008905A2"/>
    <w:rsid w:val="008905D7"/>
    <w:rsid w:val="0089150C"/>
    <w:rsid w:val="00892EB5"/>
    <w:rsid w:val="008939DB"/>
    <w:rsid w:val="0089741A"/>
    <w:rsid w:val="008A1807"/>
    <w:rsid w:val="008A3F28"/>
    <w:rsid w:val="008A4BD3"/>
    <w:rsid w:val="008A5186"/>
    <w:rsid w:val="008B2545"/>
    <w:rsid w:val="008B2892"/>
    <w:rsid w:val="008B3E52"/>
    <w:rsid w:val="008B6C86"/>
    <w:rsid w:val="008B6E8E"/>
    <w:rsid w:val="008C0534"/>
    <w:rsid w:val="008C21B7"/>
    <w:rsid w:val="008C33ED"/>
    <w:rsid w:val="008C527E"/>
    <w:rsid w:val="008C6D8D"/>
    <w:rsid w:val="008C75E9"/>
    <w:rsid w:val="008D0860"/>
    <w:rsid w:val="008D0EF6"/>
    <w:rsid w:val="008D233C"/>
    <w:rsid w:val="008D2381"/>
    <w:rsid w:val="008D2971"/>
    <w:rsid w:val="008D492E"/>
    <w:rsid w:val="008D5B89"/>
    <w:rsid w:val="008D5E68"/>
    <w:rsid w:val="008D60EE"/>
    <w:rsid w:val="008D6C50"/>
    <w:rsid w:val="008D78A5"/>
    <w:rsid w:val="008D79F4"/>
    <w:rsid w:val="008D7CB2"/>
    <w:rsid w:val="008E0AB3"/>
    <w:rsid w:val="008E0EF1"/>
    <w:rsid w:val="008E13F7"/>
    <w:rsid w:val="008E51EB"/>
    <w:rsid w:val="008E6432"/>
    <w:rsid w:val="008E6D88"/>
    <w:rsid w:val="008E6FAB"/>
    <w:rsid w:val="008E79E9"/>
    <w:rsid w:val="008F0542"/>
    <w:rsid w:val="008F11CA"/>
    <w:rsid w:val="008F1D77"/>
    <w:rsid w:val="008F28AA"/>
    <w:rsid w:val="008F66FE"/>
    <w:rsid w:val="008F72EA"/>
    <w:rsid w:val="009002F2"/>
    <w:rsid w:val="0090071E"/>
    <w:rsid w:val="009028BE"/>
    <w:rsid w:val="00903037"/>
    <w:rsid w:val="00903E2D"/>
    <w:rsid w:val="00904697"/>
    <w:rsid w:val="00906FCF"/>
    <w:rsid w:val="00910180"/>
    <w:rsid w:val="00911181"/>
    <w:rsid w:val="00911A8B"/>
    <w:rsid w:val="00912046"/>
    <w:rsid w:val="009141F3"/>
    <w:rsid w:val="00917065"/>
    <w:rsid w:val="009173F8"/>
    <w:rsid w:val="00917EC8"/>
    <w:rsid w:val="00920BEB"/>
    <w:rsid w:val="00922DED"/>
    <w:rsid w:val="009247B6"/>
    <w:rsid w:val="00924C9A"/>
    <w:rsid w:val="00925AC8"/>
    <w:rsid w:val="00927C10"/>
    <w:rsid w:val="00927DD5"/>
    <w:rsid w:val="0093046F"/>
    <w:rsid w:val="00930A6D"/>
    <w:rsid w:val="0093312A"/>
    <w:rsid w:val="0093326A"/>
    <w:rsid w:val="0093348E"/>
    <w:rsid w:val="00933566"/>
    <w:rsid w:val="00933B83"/>
    <w:rsid w:val="00933BBC"/>
    <w:rsid w:val="009362A9"/>
    <w:rsid w:val="0093665E"/>
    <w:rsid w:val="00936C7F"/>
    <w:rsid w:val="0094080F"/>
    <w:rsid w:val="0094089C"/>
    <w:rsid w:val="00940E5B"/>
    <w:rsid w:val="00942169"/>
    <w:rsid w:val="009433E5"/>
    <w:rsid w:val="00943DE6"/>
    <w:rsid w:val="00944932"/>
    <w:rsid w:val="00944F2B"/>
    <w:rsid w:val="00945781"/>
    <w:rsid w:val="0094666C"/>
    <w:rsid w:val="00950369"/>
    <w:rsid w:val="00950945"/>
    <w:rsid w:val="00950A15"/>
    <w:rsid w:val="00950DBF"/>
    <w:rsid w:val="00951414"/>
    <w:rsid w:val="00952805"/>
    <w:rsid w:val="00952B03"/>
    <w:rsid w:val="009546C4"/>
    <w:rsid w:val="0095639A"/>
    <w:rsid w:val="00956569"/>
    <w:rsid w:val="00956D45"/>
    <w:rsid w:val="00957559"/>
    <w:rsid w:val="00957B34"/>
    <w:rsid w:val="00960505"/>
    <w:rsid w:val="00960705"/>
    <w:rsid w:val="00960B6C"/>
    <w:rsid w:val="00961339"/>
    <w:rsid w:val="00962897"/>
    <w:rsid w:val="00962A3B"/>
    <w:rsid w:val="00963F6F"/>
    <w:rsid w:val="00963F8D"/>
    <w:rsid w:val="009648E7"/>
    <w:rsid w:val="00964AB0"/>
    <w:rsid w:val="009655CB"/>
    <w:rsid w:val="00966DC7"/>
    <w:rsid w:val="00967F02"/>
    <w:rsid w:val="0097022B"/>
    <w:rsid w:val="009704B6"/>
    <w:rsid w:val="00971741"/>
    <w:rsid w:val="00972190"/>
    <w:rsid w:val="00972B6D"/>
    <w:rsid w:val="0097491F"/>
    <w:rsid w:val="009753F7"/>
    <w:rsid w:val="009764E2"/>
    <w:rsid w:val="00977487"/>
    <w:rsid w:val="009816F9"/>
    <w:rsid w:val="00981C9C"/>
    <w:rsid w:val="00982AA2"/>
    <w:rsid w:val="00982B9B"/>
    <w:rsid w:val="00984301"/>
    <w:rsid w:val="00984310"/>
    <w:rsid w:val="009850B5"/>
    <w:rsid w:val="0098584F"/>
    <w:rsid w:val="00986074"/>
    <w:rsid w:val="009867B4"/>
    <w:rsid w:val="00987E36"/>
    <w:rsid w:val="0099075F"/>
    <w:rsid w:val="009927ED"/>
    <w:rsid w:val="0099298E"/>
    <w:rsid w:val="00992AE8"/>
    <w:rsid w:val="00992CAC"/>
    <w:rsid w:val="00995F66"/>
    <w:rsid w:val="0099698E"/>
    <w:rsid w:val="00996E01"/>
    <w:rsid w:val="009A1849"/>
    <w:rsid w:val="009B1C04"/>
    <w:rsid w:val="009B25C9"/>
    <w:rsid w:val="009B5FE5"/>
    <w:rsid w:val="009B6A8A"/>
    <w:rsid w:val="009B7265"/>
    <w:rsid w:val="009B7C98"/>
    <w:rsid w:val="009C12E0"/>
    <w:rsid w:val="009C3BEE"/>
    <w:rsid w:val="009C42A1"/>
    <w:rsid w:val="009C439C"/>
    <w:rsid w:val="009C4F35"/>
    <w:rsid w:val="009C5518"/>
    <w:rsid w:val="009C6838"/>
    <w:rsid w:val="009D213C"/>
    <w:rsid w:val="009D2978"/>
    <w:rsid w:val="009D2C35"/>
    <w:rsid w:val="009D301B"/>
    <w:rsid w:val="009D568A"/>
    <w:rsid w:val="009D58FB"/>
    <w:rsid w:val="009E0A76"/>
    <w:rsid w:val="009E247D"/>
    <w:rsid w:val="009E282B"/>
    <w:rsid w:val="009E511B"/>
    <w:rsid w:val="009E588A"/>
    <w:rsid w:val="009E5EDF"/>
    <w:rsid w:val="009E6828"/>
    <w:rsid w:val="009E738A"/>
    <w:rsid w:val="009E73FC"/>
    <w:rsid w:val="009E7D16"/>
    <w:rsid w:val="009F0821"/>
    <w:rsid w:val="009F1871"/>
    <w:rsid w:val="009F1C05"/>
    <w:rsid w:val="009F21E8"/>
    <w:rsid w:val="009F30EE"/>
    <w:rsid w:val="009F320E"/>
    <w:rsid w:val="009F38C3"/>
    <w:rsid w:val="009F3CFA"/>
    <w:rsid w:val="009F5FA6"/>
    <w:rsid w:val="009F6762"/>
    <w:rsid w:val="00A003AC"/>
    <w:rsid w:val="00A00B03"/>
    <w:rsid w:val="00A0179B"/>
    <w:rsid w:val="00A02966"/>
    <w:rsid w:val="00A04B97"/>
    <w:rsid w:val="00A06F5E"/>
    <w:rsid w:val="00A1778A"/>
    <w:rsid w:val="00A17D15"/>
    <w:rsid w:val="00A17FE9"/>
    <w:rsid w:val="00A2055B"/>
    <w:rsid w:val="00A20D40"/>
    <w:rsid w:val="00A2396D"/>
    <w:rsid w:val="00A24248"/>
    <w:rsid w:val="00A24322"/>
    <w:rsid w:val="00A25E0A"/>
    <w:rsid w:val="00A27F30"/>
    <w:rsid w:val="00A30033"/>
    <w:rsid w:val="00A30558"/>
    <w:rsid w:val="00A306DC"/>
    <w:rsid w:val="00A31B46"/>
    <w:rsid w:val="00A3721D"/>
    <w:rsid w:val="00A41AA2"/>
    <w:rsid w:val="00A43236"/>
    <w:rsid w:val="00A461CE"/>
    <w:rsid w:val="00A46D44"/>
    <w:rsid w:val="00A505A8"/>
    <w:rsid w:val="00A50F9A"/>
    <w:rsid w:val="00A51281"/>
    <w:rsid w:val="00A53604"/>
    <w:rsid w:val="00A541F6"/>
    <w:rsid w:val="00A55146"/>
    <w:rsid w:val="00A56EE3"/>
    <w:rsid w:val="00A60516"/>
    <w:rsid w:val="00A61211"/>
    <w:rsid w:val="00A61EDE"/>
    <w:rsid w:val="00A6230D"/>
    <w:rsid w:val="00A6328F"/>
    <w:rsid w:val="00A636C3"/>
    <w:rsid w:val="00A65696"/>
    <w:rsid w:val="00A704B8"/>
    <w:rsid w:val="00A73A5D"/>
    <w:rsid w:val="00A74006"/>
    <w:rsid w:val="00A75A7D"/>
    <w:rsid w:val="00A75BD3"/>
    <w:rsid w:val="00A775B4"/>
    <w:rsid w:val="00A80169"/>
    <w:rsid w:val="00A80961"/>
    <w:rsid w:val="00A829A9"/>
    <w:rsid w:val="00A82E90"/>
    <w:rsid w:val="00A86088"/>
    <w:rsid w:val="00A8685F"/>
    <w:rsid w:val="00A87433"/>
    <w:rsid w:val="00A87537"/>
    <w:rsid w:val="00A879F1"/>
    <w:rsid w:val="00A90772"/>
    <w:rsid w:val="00A92756"/>
    <w:rsid w:val="00A93553"/>
    <w:rsid w:val="00A945D3"/>
    <w:rsid w:val="00A9585B"/>
    <w:rsid w:val="00A96090"/>
    <w:rsid w:val="00A9730F"/>
    <w:rsid w:val="00AA01B3"/>
    <w:rsid w:val="00AA0729"/>
    <w:rsid w:val="00AA0C07"/>
    <w:rsid w:val="00AA0ED3"/>
    <w:rsid w:val="00AA2A77"/>
    <w:rsid w:val="00AA3A6C"/>
    <w:rsid w:val="00AA3AAB"/>
    <w:rsid w:val="00AA4E38"/>
    <w:rsid w:val="00AA7308"/>
    <w:rsid w:val="00AA7DA8"/>
    <w:rsid w:val="00AB11F1"/>
    <w:rsid w:val="00AB240C"/>
    <w:rsid w:val="00AB2A77"/>
    <w:rsid w:val="00AB2CD5"/>
    <w:rsid w:val="00AB3935"/>
    <w:rsid w:val="00AB59EF"/>
    <w:rsid w:val="00AB636D"/>
    <w:rsid w:val="00AC0034"/>
    <w:rsid w:val="00AC0682"/>
    <w:rsid w:val="00AC1233"/>
    <w:rsid w:val="00AC1921"/>
    <w:rsid w:val="00AC314A"/>
    <w:rsid w:val="00AC5C28"/>
    <w:rsid w:val="00AC5FAA"/>
    <w:rsid w:val="00AC7643"/>
    <w:rsid w:val="00AC782B"/>
    <w:rsid w:val="00AD0652"/>
    <w:rsid w:val="00AD0F83"/>
    <w:rsid w:val="00AD1FBC"/>
    <w:rsid w:val="00AD2B25"/>
    <w:rsid w:val="00AD33A5"/>
    <w:rsid w:val="00AD4CA8"/>
    <w:rsid w:val="00AD5590"/>
    <w:rsid w:val="00AD755D"/>
    <w:rsid w:val="00AD7C64"/>
    <w:rsid w:val="00AE0779"/>
    <w:rsid w:val="00AE1E63"/>
    <w:rsid w:val="00AE2872"/>
    <w:rsid w:val="00AE3B6B"/>
    <w:rsid w:val="00AE4ED0"/>
    <w:rsid w:val="00AE63B3"/>
    <w:rsid w:val="00AE6979"/>
    <w:rsid w:val="00AE76A8"/>
    <w:rsid w:val="00AE7BFA"/>
    <w:rsid w:val="00AF0032"/>
    <w:rsid w:val="00AF0432"/>
    <w:rsid w:val="00AF0921"/>
    <w:rsid w:val="00AF0958"/>
    <w:rsid w:val="00AF2691"/>
    <w:rsid w:val="00AF2E48"/>
    <w:rsid w:val="00AF39CF"/>
    <w:rsid w:val="00AF4F3A"/>
    <w:rsid w:val="00AF533D"/>
    <w:rsid w:val="00B0061B"/>
    <w:rsid w:val="00B00A0F"/>
    <w:rsid w:val="00B013E1"/>
    <w:rsid w:val="00B0146B"/>
    <w:rsid w:val="00B02BC2"/>
    <w:rsid w:val="00B02BE7"/>
    <w:rsid w:val="00B033DE"/>
    <w:rsid w:val="00B03AF3"/>
    <w:rsid w:val="00B043F8"/>
    <w:rsid w:val="00B05F07"/>
    <w:rsid w:val="00B06600"/>
    <w:rsid w:val="00B068E4"/>
    <w:rsid w:val="00B06B54"/>
    <w:rsid w:val="00B073DA"/>
    <w:rsid w:val="00B114B7"/>
    <w:rsid w:val="00B115E8"/>
    <w:rsid w:val="00B12635"/>
    <w:rsid w:val="00B128A4"/>
    <w:rsid w:val="00B1408C"/>
    <w:rsid w:val="00B17192"/>
    <w:rsid w:val="00B17835"/>
    <w:rsid w:val="00B206DE"/>
    <w:rsid w:val="00B209C0"/>
    <w:rsid w:val="00B20B90"/>
    <w:rsid w:val="00B23769"/>
    <w:rsid w:val="00B26A12"/>
    <w:rsid w:val="00B30358"/>
    <w:rsid w:val="00B31307"/>
    <w:rsid w:val="00B33873"/>
    <w:rsid w:val="00B33AE3"/>
    <w:rsid w:val="00B33B64"/>
    <w:rsid w:val="00B33F9A"/>
    <w:rsid w:val="00B35962"/>
    <w:rsid w:val="00B404D8"/>
    <w:rsid w:val="00B411A5"/>
    <w:rsid w:val="00B425CE"/>
    <w:rsid w:val="00B426DF"/>
    <w:rsid w:val="00B43166"/>
    <w:rsid w:val="00B43676"/>
    <w:rsid w:val="00B44C26"/>
    <w:rsid w:val="00B47B22"/>
    <w:rsid w:val="00B47D9E"/>
    <w:rsid w:val="00B52220"/>
    <w:rsid w:val="00B53200"/>
    <w:rsid w:val="00B53E0E"/>
    <w:rsid w:val="00B54364"/>
    <w:rsid w:val="00B547D8"/>
    <w:rsid w:val="00B55319"/>
    <w:rsid w:val="00B5546E"/>
    <w:rsid w:val="00B558E3"/>
    <w:rsid w:val="00B55FCE"/>
    <w:rsid w:val="00B565B3"/>
    <w:rsid w:val="00B60FF0"/>
    <w:rsid w:val="00B61125"/>
    <w:rsid w:val="00B6283F"/>
    <w:rsid w:val="00B62BD4"/>
    <w:rsid w:val="00B63C59"/>
    <w:rsid w:val="00B64630"/>
    <w:rsid w:val="00B64A09"/>
    <w:rsid w:val="00B64D12"/>
    <w:rsid w:val="00B66631"/>
    <w:rsid w:val="00B67363"/>
    <w:rsid w:val="00B676AA"/>
    <w:rsid w:val="00B70222"/>
    <w:rsid w:val="00B70911"/>
    <w:rsid w:val="00B70D79"/>
    <w:rsid w:val="00B73A66"/>
    <w:rsid w:val="00B73B3E"/>
    <w:rsid w:val="00B74C7B"/>
    <w:rsid w:val="00B75324"/>
    <w:rsid w:val="00B75873"/>
    <w:rsid w:val="00B76798"/>
    <w:rsid w:val="00B76F38"/>
    <w:rsid w:val="00B77AD5"/>
    <w:rsid w:val="00B77B62"/>
    <w:rsid w:val="00B80D26"/>
    <w:rsid w:val="00B80DAC"/>
    <w:rsid w:val="00B81B7D"/>
    <w:rsid w:val="00B81FFE"/>
    <w:rsid w:val="00B8213E"/>
    <w:rsid w:val="00B82F09"/>
    <w:rsid w:val="00B8585E"/>
    <w:rsid w:val="00B86CEF"/>
    <w:rsid w:val="00B909A8"/>
    <w:rsid w:val="00B9396F"/>
    <w:rsid w:val="00B9403A"/>
    <w:rsid w:val="00B956CE"/>
    <w:rsid w:val="00B958C9"/>
    <w:rsid w:val="00B95EDB"/>
    <w:rsid w:val="00B96515"/>
    <w:rsid w:val="00B96920"/>
    <w:rsid w:val="00B974AF"/>
    <w:rsid w:val="00B97756"/>
    <w:rsid w:val="00B979B5"/>
    <w:rsid w:val="00B97E90"/>
    <w:rsid w:val="00B97FEE"/>
    <w:rsid w:val="00BA0A52"/>
    <w:rsid w:val="00BA0EA2"/>
    <w:rsid w:val="00BA2D5D"/>
    <w:rsid w:val="00BA3689"/>
    <w:rsid w:val="00BA3D91"/>
    <w:rsid w:val="00BA4126"/>
    <w:rsid w:val="00BA473C"/>
    <w:rsid w:val="00BA58F7"/>
    <w:rsid w:val="00BA61BF"/>
    <w:rsid w:val="00BA6AE3"/>
    <w:rsid w:val="00BA6B8C"/>
    <w:rsid w:val="00BB03EB"/>
    <w:rsid w:val="00BB0ABD"/>
    <w:rsid w:val="00BB4930"/>
    <w:rsid w:val="00BB5045"/>
    <w:rsid w:val="00BB64E5"/>
    <w:rsid w:val="00BB698A"/>
    <w:rsid w:val="00BC134A"/>
    <w:rsid w:val="00BC2E4C"/>
    <w:rsid w:val="00BC3463"/>
    <w:rsid w:val="00BC3C87"/>
    <w:rsid w:val="00BC43F2"/>
    <w:rsid w:val="00BC4723"/>
    <w:rsid w:val="00BC63B5"/>
    <w:rsid w:val="00BC6818"/>
    <w:rsid w:val="00BC6B3E"/>
    <w:rsid w:val="00BC7922"/>
    <w:rsid w:val="00BD0F50"/>
    <w:rsid w:val="00BD13E1"/>
    <w:rsid w:val="00BD1760"/>
    <w:rsid w:val="00BD1F21"/>
    <w:rsid w:val="00BD2EA2"/>
    <w:rsid w:val="00BD2EB8"/>
    <w:rsid w:val="00BD3792"/>
    <w:rsid w:val="00BD4CE7"/>
    <w:rsid w:val="00BD5EE4"/>
    <w:rsid w:val="00BD6ECA"/>
    <w:rsid w:val="00BD7AA1"/>
    <w:rsid w:val="00BD7C7F"/>
    <w:rsid w:val="00BE1690"/>
    <w:rsid w:val="00BE26F5"/>
    <w:rsid w:val="00BE37BB"/>
    <w:rsid w:val="00BE3E90"/>
    <w:rsid w:val="00BE6658"/>
    <w:rsid w:val="00BE7C3D"/>
    <w:rsid w:val="00BF0045"/>
    <w:rsid w:val="00BF1AB7"/>
    <w:rsid w:val="00BF201E"/>
    <w:rsid w:val="00BF4815"/>
    <w:rsid w:val="00BF4A16"/>
    <w:rsid w:val="00BF5004"/>
    <w:rsid w:val="00BF53D0"/>
    <w:rsid w:val="00BF61A5"/>
    <w:rsid w:val="00BF75DC"/>
    <w:rsid w:val="00C00F13"/>
    <w:rsid w:val="00C01CCD"/>
    <w:rsid w:val="00C02FC3"/>
    <w:rsid w:val="00C035C2"/>
    <w:rsid w:val="00C039F9"/>
    <w:rsid w:val="00C041DF"/>
    <w:rsid w:val="00C0458D"/>
    <w:rsid w:val="00C04D07"/>
    <w:rsid w:val="00C05AA3"/>
    <w:rsid w:val="00C05EB1"/>
    <w:rsid w:val="00C05F39"/>
    <w:rsid w:val="00C06C77"/>
    <w:rsid w:val="00C07150"/>
    <w:rsid w:val="00C07228"/>
    <w:rsid w:val="00C10AB6"/>
    <w:rsid w:val="00C1158B"/>
    <w:rsid w:val="00C12806"/>
    <w:rsid w:val="00C12D3D"/>
    <w:rsid w:val="00C146FE"/>
    <w:rsid w:val="00C14887"/>
    <w:rsid w:val="00C1585F"/>
    <w:rsid w:val="00C15DC4"/>
    <w:rsid w:val="00C16E58"/>
    <w:rsid w:val="00C173DD"/>
    <w:rsid w:val="00C17E8E"/>
    <w:rsid w:val="00C201B1"/>
    <w:rsid w:val="00C211FB"/>
    <w:rsid w:val="00C2134D"/>
    <w:rsid w:val="00C21BF1"/>
    <w:rsid w:val="00C236C7"/>
    <w:rsid w:val="00C23BE8"/>
    <w:rsid w:val="00C23EFC"/>
    <w:rsid w:val="00C24C4D"/>
    <w:rsid w:val="00C26A47"/>
    <w:rsid w:val="00C26BBE"/>
    <w:rsid w:val="00C27700"/>
    <w:rsid w:val="00C3027D"/>
    <w:rsid w:val="00C33FB5"/>
    <w:rsid w:val="00C345CC"/>
    <w:rsid w:val="00C348FF"/>
    <w:rsid w:val="00C34DA4"/>
    <w:rsid w:val="00C352AA"/>
    <w:rsid w:val="00C36053"/>
    <w:rsid w:val="00C3629F"/>
    <w:rsid w:val="00C373B7"/>
    <w:rsid w:val="00C378CA"/>
    <w:rsid w:val="00C422EA"/>
    <w:rsid w:val="00C434B9"/>
    <w:rsid w:val="00C47254"/>
    <w:rsid w:val="00C5148B"/>
    <w:rsid w:val="00C514BF"/>
    <w:rsid w:val="00C524DE"/>
    <w:rsid w:val="00C52DE5"/>
    <w:rsid w:val="00C545CB"/>
    <w:rsid w:val="00C54A0B"/>
    <w:rsid w:val="00C55387"/>
    <w:rsid w:val="00C568E4"/>
    <w:rsid w:val="00C56E3F"/>
    <w:rsid w:val="00C57831"/>
    <w:rsid w:val="00C60096"/>
    <w:rsid w:val="00C60123"/>
    <w:rsid w:val="00C604CC"/>
    <w:rsid w:val="00C617D1"/>
    <w:rsid w:val="00C625C5"/>
    <w:rsid w:val="00C62772"/>
    <w:rsid w:val="00C62980"/>
    <w:rsid w:val="00C62DB4"/>
    <w:rsid w:val="00C6341A"/>
    <w:rsid w:val="00C63A83"/>
    <w:rsid w:val="00C70AEE"/>
    <w:rsid w:val="00C72FA2"/>
    <w:rsid w:val="00C73319"/>
    <w:rsid w:val="00C74C66"/>
    <w:rsid w:val="00C759E6"/>
    <w:rsid w:val="00C75C57"/>
    <w:rsid w:val="00C75EB9"/>
    <w:rsid w:val="00C81312"/>
    <w:rsid w:val="00C81390"/>
    <w:rsid w:val="00C8287B"/>
    <w:rsid w:val="00C82B52"/>
    <w:rsid w:val="00C82BEA"/>
    <w:rsid w:val="00C8316C"/>
    <w:rsid w:val="00C841B4"/>
    <w:rsid w:val="00C8463E"/>
    <w:rsid w:val="00C86BAE"/>
    <w:rsid w:val="00C87140"/>
    <w:rsid w:val="00C90211"/>
    <w:rsid w:val="00C910E4"/>
    <w:rsid w:val="00C9150F"/>
    <w:rsid w:val="00C92110"/>
    <w:rsid w:val="00C926F9"/>
    <w:rsid w:val="00C934BE"/>
    <w:rsid w:val="00C95264"/>
    <w:rsid w:val="00C95667"/>
    <w:rsid w:val="00C96BA3"/>
    <w:rsid w:val="00CA0F5E"/>
    <w:rsid w:val="00CA1A1F"/>
    <w:rsid w:val="00CA240E"/>
    <w:rsid w:val="00CA51E1"/>
    <w:rsid w:val="00CA5D9C"/>
    <w:rsid w:val="00CA5E24"/>
    <w:rsid w:val="00CB015C"/>
    <w:rsid w:val="00CB171F"/>
    <w:rsid w:val="00CB1765"/>
    <w:rsid w:val="00CB185F"/>
    <w:rsid w:val="00CB21C1"/>
    <w:rsid w:val="00CB3BF5"/>
    <w:rsid w:val="00CB3E84"/>
    <w:rsid w:val="00CB49F4"/>
    <w:rsid w:val="00CB4C13"/>
    <w:rsid w:val="00CB655B"/>
    <w:rsid w:val="00CC10C2"/>
    <w:rsid w:val="00CC2864"/>
    <w:rsid w:val="00CC32ED"/>
    <w:rsid w:val="00CC3639"/>
    <w:rsid w:val="00CC38EF"/>
    <w:rsid w:val="00CC5662"/>
    <w:rsid w:val="00CC5AE6"/>
    <w:rsid w:val="00CC630A"/>
    <w:rsid w:val="00CC756B"/>
    <w:rsid w:val="00CD0086"/>
    <w:rsid w:val="00CD0565"/>
    <w:rsid w:val="00CD3B62"/>
    <w:rsid w:val="00CD48D1"/>
    <w:rsid w:val="00CD556F"/>
    <w:rsid w:val="00CD71BD"/>
    <w:rsid w:val="00CD7A6F"/>
    <w:rsid w:val="00CE04F8"/>
    <w:rsid w:val="00CE06F6"/>
    <w:rsid w:val="00CE1377"/>
    <w:rsid w:val="00CE3D54"/>
    <w:rsid w:val="00CE4288"/>
    <w:rsid w:val="00CE461B"/>
    <w:rsid w:val="00CE4D13"/>
    <w:rsid w:val="00CE5AE6"/>
    <w:rsid w:val="00CE6E34"/>
    <w:rsid w:val="00CE707A"/>
    <w:rsid w:val="00CE7A1B"/>
    <w:rsid w:val="00CF0F8C"/>
    <w:rsid w:val="00CF111F"/>
    <w:rsid w:val="00CF1F51"/>
    <w:rsid w:val="00CF2CB1"/>
    <w:rsid w:val="00CF4226"/>
    <w:rsid w:val="00CF6006"/>
    <w:rsid w:val="00D01082"/>
    <w:rsid w:val="00D0292F"/>
    <w:rsid w:val="00D02B66"/>
    <w:rsid w:val="00D031D3"/>
    <w:rsid w:val="00D0398B"/>
    <w:rsid w:val="00D048C0"/>
    <w:rsid w:val="00D04934"/>
    <w:rsid w:val="00D05E6F"/>
    <w:rsid w:val="00D10790"/>
    <w:rsid w:val="00D11620"/>
    <w:rsid w:val="00D13C61"/>
    <w:rsid w:val="00D1425E"/>
    <w:rsid w:val="00D143F9"/>
    <w:rsid w:val="00D14689"/>
    <w:rsid w:val="00D158DB"/>
    <w:rsid w:val="00D20932"/>
    <w:rsid w:val="00D20B90"/>
    <w:rsid w:val="00D20FC8"/>
    <w:rsid w:val="00D214D9"/>
    <w:rsid w:val="00D21FA9"/>
    <w:rsid w:val="00D22072"/>
    <w:rsid w:val="00D23491"/>
    <w:rsid w:val="00D23888"/>
    <w:rsid w:val="00D2419E"/>
    <w:rsid w:val="00D24492"/>
    <w:rsid w:val="00D25101"/>
    <w:rsid w:val="00D252E6"/>
    <w:rsid w:val="00D26335"/>
    <w:rsid w:val="00D311DC"/>
    <w:rsid w:val="00D33056"/>
    <w:rsid w:val="00D34CCD"/>
    <w:rsid w:val="00D36489"/>
    <w:rsid w:val="00D36501"/>
    <w:rsid w:val="00D4047B"/>
    <w:rsid w:val="00D4072B"/>
    <w:rsid w:val="00D41657"/>
    <w:rsid w:val="00D41714"/>
    <w:rsid w:val="00D41AE2"/>
    <w:rsid w:val="00D41CF7"/>
    <w:rsid w:val="00D422B3"/>
    <w:rsid w:val="00D42A53"/>
    <w:rsid w:val="00D42CA0"/>
    <w:rsid w:val="00D43E49"/>
    <w:rsid w:val="00D4536E"/>
    <w:rsid w:val="00D45D27"/>
    <w:rsid w:val="00D461C4"/>
    <w:rsid w:val="00D472C5"/>
    <w:rsid w:val="00D510B7"/>
    <w:rsid w:val="00D51439"/>
    <w:rsid w:val="00D51BDF"/>
    <w:rsid w:val="00D51DBF"/>
    <w:rsid w:val="00D5204B"/>
    <w:rsid w:val="00D52218"/>
    <w:rsid w:val="00D53DE3"/>
    <w:rsid w:val="00D54796"/>
    <w:rsid w:val="00D55AE3"/>
    <w:rsid w:val="00D57489"/>
    <w:rsid w:val="00D6298B"/>
    <w:rsid w:val="00D64BE2"/>
    <w:rsid w:val="00D6502D"/>
    <w:rsid w:val="00D66304"/>
    <w:rsid w:val="00D66C41"/>
    <w:rsid w:val="00D6783C"/>
    <w:rsid w:val="00D67906"/>
    <w:rsid w:val="00D67E5A"/>
    <w:rsid w:val="00D67F43"/>
    <w:rsid w:val="00D70096"/>
    <w:rsid w:val="00D70567"/>
    <w:rsid w:val="00D70B50"/>
    <w:rsid w:val="00D71AFA"/>
    <w:rsid w:val="00D7331A"/>
    <w:rsid w:val="00D74BCE"/>
    <w:rsid w:val="00D774EE"/>
    <w:rsid w:val="00D8075C"/>
    <w:rsid w:val="00D8111C"/>
    <w:rsid w:val="00D82E2D"/>
    <w:rsid w:val="00D837EC"/>
    <w:rsid w:val="00D849E4"/>
    <w:rsid w:val="00D85AA6"/>
    <w:rsid w:val="00D87CB9"/>
    <w:rsid w:val="00D90226"/>
    <w:rsid w:val="00D93735"/>
    <w:rsid w:val="00D95D3E"/>
    <w:rsid w:val="00DA084E"/>
    <w:rsid w:val="00DA18A9"/>
    <w:rsid w:val="00DA3060"/>
    <w:rsid w:val="00DA33CF"/>
    <w:rsid w:val="00DA3CC3"/>
    <w:rsid w:val="00DA3DA0"/>
    <w:rsid w:val="00DA3E25"/>
    <w:rsid w:val="00DA3FE1"/>
    <w:rsid w:val="00DA433D"/>
    <w:rsid w:val="00DA491A"/>
    <w:rsid w:val="00DA4A1D"/>
    <w:rsid w:val="00DB0FD3"/>
    <w:rsid w:val="00DB11DC"/>
    <w:rsid w:val="00DB2D3E"/>
    <w:rsid w:val="00DB654B"/>
    <w:rsid w:val="00DB69AD"/>
    <w:rsid w:val="00DB75BB"/>
    <w:rsid w:val="00DC009E"/>
    <w:rsid w:val="00DC0E44"/>
    <w:rsid w:val="00DC1278"/>
    <w:rsid w:val="00DC1B5E"/>
    <w:rsid w:val="00DC449E"/>
    <w:rsid w:val="00DC4AE6"/>
    <w:rsid w:val="00DC546D"/>
    <w:rsid w:val="00DC5E77"/>
    <w:rsid w:val="00DC6CE5"/>
    <w:rsid w:val="00DD02A6"/>
    <w:rsid w:val="00DD079E"/>
    <w:rsid w:val="00DD1C2D"/>
    <w:rsid w:val="00DD21EB"/>
    <w:rsid w:val="00DD259F"/>
    <w:rsid w:val="00DD5DF8"/>
    <w:rsid w:val="00DD5EEC"/>
    <w:rsid w:val="00DD6363"/>
    <w:rsid w:val="00DD68C8"/>
    <w:rsid w:val="00DE07FA"/>
    <w:rsid w:val="00DE08AE"/>
    <w:rsid w:val="00DE268D"/>
    <w:rsid w:val="00DE400F"/>
    <w:rsid w:val="00DE5CD8"/>
    <w:rsid w:val="00DE60EC"/>
    <w:rsid w:val="00DE74EF"/>
    <w:rsid w:val="00DF2A32"/>
    <w:rsid w:val="00DF3E3D"/>
    <w:rsid w:val="00DF430C"/>
    <w:rsid w:val="00DF4774"/>
    <w:rsid w:val="00DF4BAF"/>
    <w:rsid w:val="00DF58D9"/>
    <w:rsid w:val="00DF5A04"/>
    <w:rsid w:val="00DF5D0F"/>
    <w:rsid w:val="00DF78B6"/>
    <w:rsid w:val="00DF7E7B"/>
    <w:rsid w:val="00E01FA8"/>
    <w:rsid w:val="00E02EFF"/>
    <w:rsid w:val="00E02FFB"/>
    <w:rsid w:val="00E035D0"/>
    <w:rsid w:val="00E03C10"/>
    <w:rsid w:val="00E04395"/>
    <w:rsid w:val="00E05609"/>
    <w:rsid w:val="00E058B6"/>
    <w:rsid w:val="00E07CA0"/>
    <w:rsid w:val="00E12F87"/>
    <w:rsid w:val="00E13F91"/>
    <w:rsid w:val="00E1447B"/>
    <w:rsid w:val="00E1454F"/>
    <w:rsid w:val="00E15E8A"/>
    <w:rsid w:val="00E2027F"/>
    <w:rsid w:val="00E20330"/>
    <w:rsid w:val="00E22BC6"/>
    <w:rsid w:val="00E22FCF"/>
    <w:rsid w:val="00E23C1C"/>
    <w:rsid w:val="00E23C20"/>
    <w:rsid w:val="00E23DF6"/>
    <w:rsid w:val="00E2600A"/>
    <w:rsid w:val="00E27114"/>
    <w:rsid w:val="00E271C8"/>
    <w:rsid w:val="00E322A7"/>
    <w:rsid w:val="00E32B86"/>
    <w:rsid w:val="00E33158"/>
    <w:rsid w:val="00E33BF4"/>
    <w:rsid w:val="00E350D2"/>
    <w:rsid w:val="00E35231"/>
    <w:rsid w:val="00E35521"/>
    <w:rsid w:val="00E36C60"/>
    <w:rsid w:val="00E36FD3"/>
    <w:rsid w:val="00E37E78"/>
    <w:rsid w:val="00E37F84"/>
    <w:rsid w:val="00E42604"/>
    <w:rsid w:val="00E431CB"/>
    <w:rsid w:val="00E433FE"/>
    <w:rsid w:val="00E43ACF"/>
    <w:rsid w:val="00E44E2C"/>
    <w:rsid w:val="00E50284"/>
    <w:rsid w:val="00E507EC"/>
    <w:rsid w:val="00E52BDB"/>
    <w:rsid w:val="00E52E08"/>
    <w:rsid w:val="00E533C6"/>
    <w:rsid w:val="00E56C4A"/>
    <w:rsid w:val="00E56FF3"/>
    <w:rsid w:val="00E61508"/>
    <w:rsid w:val="00E6239B"/>
    <w:rsid w:val="00E6287F"/>
    <w:rsid w:val="00E62A3A"/>
    <w:rsid w:val="00E64F91"/>
    <w:rsid w:val="00E658CB"/>
    <w:rsid w:val="00E66A66"/>
    <w:rsid w:val="00E710F4"/>
    <w:rsid w:val="00E71481"/>
    <w:rsid w:val="00E71912"/>
    <w:rsid w:val="00E71ADC"/>
    <w:rsid w:val="00E71E31"/>
    <w:rsid w:val="00E729A0"/>
    <w:rsid w:val="00E72B50"/>
    <w:rsid w:val="00E733FB"/>
    <w:rsid w:val="00E735D3"/>
    <w:rsid w:val="00E74936"/>
    <w:rsid w:val="00E74F3B"/>
    <w:rsid w:val="00E76290"/>
    <w:rsid w:val="00E76C41"/>
    <w:rsid w:val="00E77181"/>
    <w:rsid w:val="00E77AD7"/>
    <w:rsid w:val="00E82DE2"/>
    <w:rsid w:val="00E836FC"/>
    <w:rsid w:val="00E84AFF"/>
    <w:rsid w:val="00E84D5A"/>
    <w:rsid w:val="00E84E74"/>
    <w:rsid w:val="00E856DA"/>
    <w:rsid w:val="00E86014"/>
    <w:rsid w:val="00E86166"/>
    <w:rsid w:val="00E86E36"/>
    <w:rsid w:val="00E93735"/>
    <w:rsid w:val="00E93FBF"/>
    <w:rsid w:val="00E9454A"/>
    <w:rsid w:val="00E96DC6"/>
    <w:rsid w:val="00E97AAB"/>
    <w:rsid w:val="00E97DC9"/>
    <w:rsid w:val="00EA1D2E"/>
    <w:rsid w:val="00EA5620"/>
    <w:rsid w:val="00EA59FC"/>
    <w:rsid w:val="00EA63E8"/>
    <w:rsid w:val="00EA63F1"/>
    <w:rsid w:val="00EA6612"/>
    <w:rsid w:val="00EA78BA"/>
    <w:rsid w:val="00EB010D"/>
    <w:rsid w:val="00EB06C7"/>
    <w:rsid w:val="00EB0CEE"/>
    <w:rsid w:val="00EB238F"/>
    <w:rsid w:val="00EB3480"/>
    <w:rsid w:val="00EB40A6"/>
    <w:rsid w:val="00EB78AB"/>
    <w:rsid w:val="00EC0863"/>
    <w:rsid w:val="00EC0ABA"/>
    <w:rsid w:val="00EC16F1"/>
    <w:rsid w:val="00EC3648"/>
    <w:rsid w:val="00EC3CB8"/>
    <w:rsid w:val="00EC43BC"/>
    <w:rsid w:val="00EC43C1"/>
    <w:rsid w:val="00EC4551"/>
    <w:rsid w:val="00EC56EB"/>
    <w:rsid w:val="00EC57FD"/>
    <w:rsid w:val="00EC5F6C"/>
    <w:rsid w:val="00EC6AAC"/>
    <w:rsid w:val="00EC7843"/>
    <w:rsid w:val="00ED07C8"/>
    <w:rsid w:val="00ED0FE3"/>
    <w:rsid w:val="00ED1395"/>
    <w:rsid w:val="00ED2C81"/>
    <w:rsid w:val="00ED4013"/>
    <w:rsid w:val="00ED4A6B"/>
    <w:rsid w:val="00ED4FDC"/>
    <w:rsid w:val="00ED58A4"/>
    <w:rsid w:val="00EE2FC0"/>
    <w:rsid w:val="00EE6B5A"/>
    <w:rsid w:val="00EE77BD"/>
    <w:rsid w:val="00EF1C7D"/>
    <w:rsid w:val="00EF3AC5"/>
    <w:rsid w:val="00EF421E"/>
    <w:rsid w:val="00EF694A"/>
    <w:rsid w:val="00F00207"/>
    <w:rsid w:val="00F01327"/>
    <w:rsid w:val="00F01F4E"/>
    <w:rsid w:val="00F025B4"/>
    <w:rsid w:val="00F03C2F"/>
    <w:rsid w:val="00F05709"/>
    <w:rsid w:val="00F05747"/>
    <w:rsid w:val="00F05C37"/>
    <w:rsid w:val="00F063C8"/>
    <w:rsid w:val="00F06776"/>
    <w:rsid w:val="00F06A04"/>
    <w:rsid w:val="00F10BC2"/>
    <w:rsid w:val="00F1156F"/>
    <w:rsid w:val="00F1186E"/>
    <w:rsid w:val="00F13403"/>
    <w:rsid w:val="00F134A0"/>
    <w:rsid w:val="00F135B4"/>
    <w:rsid w:val="00F1405F"/>
    <w:rsid w:val="00F1418D"/>
    <w:rsid w:val="00F14C8F"/>
    <w:rsid w:val="00F15548"/>
    <w:rsid w:val="00F20B3E"/>
    <w:rsid w:val="00F215FF"/>
    <w:rsid w:val="00F21F16"/>
    <w:rsid w:val="00F2490A"/>
    <w:rsid w:val="00F302E1"/>
    <w:rsid w:val="00F31F29"/>
    <w:rsid w:val="00F34322"/>
    <w:rsid w:val="00F343BF"/>
    <w:rsid w:val="00F348C4"/>
    <w:rsid w:val="00F34F78"/>
    <w:rsid w:val="00F354A0"/>
    <w:rsid w:val="00F35718"/>
    <w:rsid w:val="00F35C54"/>
    <w:rsid w:val="00F35E52"/>
    <w:rsid w:val="00F36E2C"/>
    <w:rsid w:val="00F36ECA"/>
    <w:rsid w:val="00F3737C"/>
    <w:rsid w:val="00F37E3A"/>
    <w:rsid w:val="00F37F76"/>
    <w:rsid w:val="00F4102D"/>
    <w:rsid w:val="00F42039"/>
    <w:rsid w:val="00F43484"/>
    <w:rsid w:val="00F4402C"/>
    <w:rsid w:val="00F4505D"/>
    <w:rsid w:val="00F50C36"/>
    <w:rsid w:val="00F50D9F"/>
    <w:rsid w:val="00F52360"/>
    <w:rsid w:val="00F523A4"/>
    <w:rsid w:val="00F5260C"/>
    <w:rsid w:val="00F52817"/>
    <w:rsid w:val="00F530A8"/>
    <w:rsid w:val="00F537CC"/>
    <w:rsid w:val="00F54027"/>
    <w:rsid w:val="00F55674"/>
    <w:rsid w:val="00F576FB"/>
    <w:rsid w:val="00F621D0"/>
    <w:rsid w:val="00F626C3"/>
    <w:rsid w:val="00F63879"/>
    <w:rsid w:val="00F63CB0"/>
    <w:rsid w:val="00F640F6"/>
    <w:rsid w:val="00F6556B"/>
    <w:rsid w:val="00F65D4E"/>
    <w:rsid w:val="00F6607F"/>
    <w:rsid w:val="00F70262"/>
    <w:rsid w:val="00F70E4E"/>
    <w:rsid w:val="00F71764"/>
    <w:rsid w:val="00F717B8"/>
    <w:rsid w:val="00F71BCD"/>
    <w:rsid w:val="00F72A7F"/>
    <w:rsid w:val="00F72EFC"/>
    <w:rsid w:val="00F74A2A"/>
    <w:rsid w:val="00F74F5D"/>
    <w:rsid w:val="00F74FA4"/>
    <w:rsid w:val="00F754A4"/>
    <w:rsid w:val="00F75C61"/>
    <w:rsid w:val="00F761B6"/>
    <w:rsid w:val="00F76E9D"/>
    <w:rsid w:val="00F76F9F"/>
    <w:rsid w:val="00F775CB"/>
    <w:rsid w:val="00F800EE"/>
    <w:rsid w:val="00F80DDD"/>
    <w:rsid w:val="00F8102B"/>
    <w:rsid w:val="00F8146B"/>
    <w:rsid w:val="00F820A6"/>
    <w:rsid w:val="00F821ED"/>
    <w:rsid w:val="00F838B3"/>
    <w:rsid w:val="00F8417D"/>
    <w:rsid w:val="00F84383"/>
    <w:rsid w:val="00F86335"/>
    <w:rsid w:val="00F871E4"/>
    <w:rsid w:val="00F87A41"/>
    <w:rsid w:val="00F87E61"/>
    <w:rsid w:val="00F9142C"/>
    <w:rsid w:val="00F9186D"/>
    <w:rsid w:val="00F91D76"/>
    <w:rsid w:val="00F9275F"/>
    <w:rsid w:val="00F92BAC"/>
    <w:rsid w:val="00F9335B"/>
    <w:rsid w:val="00F93854"/>
    <w:rsid w:val="00F93DD8"/>
    <w:rsid w:val="00F94FBB"/>
    <w:rsid w:val="00F9579B"/>
    <w:rsid w:val="00F95EE1"/>
    <w:rsid w:val="00FA008C"/>
    <w:rsid w:val="00FA0090"/>
    <w:rsid w:val="00FA3F16"/>
    <w:rsid w:val="00FA41AF"/>
    <w:rsid w:val="00FA7213"/>
    <w:rsid w:val="00FB188D"/>
    <w:rsid w:val="00FB1944"/>
    <w:rsid w:val="00FB1A8D"/>
    <w:rsid w:val="00FB1FB9"/>
    <w:rsid w:val="00FB20CC"/>
    <w:rsid w:val="00FB2FFE"/>
    <w:rsid w:val="00FB3451"/>
    <w:rsid w:val="00FB444E"/>
    <w:rsid w:val="00FB4673"/>
    <w:rsid w:val="00FB6BBA"/>
    <w:rsid w:val="00FB6FFB"/>
    <w:rsid w:val="00FB7AE3"/>
    <w:rsid w:val="00FB7F0A"/>
    <w:rsid w:val="00FC0ACB"/>
    <w:rsid w:val="00FC1410"/>
    <w:rsid w:val="00FC344A"/>
    <w:rsid w:val="00FC390D"/>
    <w:rsid w:val="00FC3CF8"/>
    <w:rsid w:val="00FC4562"/>
    <w:rsid w:val="00FC4798"/>
    <w:rsid w:val="00FC4A61"/>
    <w:rsid w:val="00FC5C4A"/>
    <w:rsid w:val="00FC70FB"/>
    <w:rsid w:val="00FC7BF1"/>
    <w:rsid w:val="00FD36B9"/>
    <w:rsid w:val="00FD3AFA"/>
    <w:rsid w:val="00FD4968"/>
    <w:rsid w:val="00FD4E18"/>
    <w:rsid w:val="00FD612A"/>
    <w:rsid w:val="00FD6E0B"/>
    <w:rsid w:val="00FE05C1"/>
    <w:rsid w:val="00FE084B"/>
    <w:rsid w:val="00FE1148"/>
    <w:rsid w:val="00FE172F"/>
    <w:rsid w:val="00FE329A"/>
    <w:rsid w:val="00FE3C09"/>
    <w:rsid w:val="00FE4A63"/>
    <w:rsid w:val="00FE4DA3"/>
    <w:rsid w:val="00FE545E"/>
    <w:rsid w:val="00FE6693"/>
    <w:rsid w:val="00FE7032"/>
    <w:rsid w:val="00FE7323"/>
    <w:rsid w:val="00FF0567"/>
    <w:rsid w:val="00FF0D79"/>
    <w:rsid w:val="00FF1132"/>
    <w:rsid w:val="00FF2667"/>
    <w:rsid w:val="00FF2C70"/>
    <w:rsid w:val="00FF532F"/>
    <w:rsid w:val="00FF68CF"/>
    <w:rsid w:val="00FF77BD"/>
    <w:rsid w:val="00FF7DCE"/>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F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94"/>
  </w:style>
  <w:style w:type="paragraph" w:styleId="Heading2">
    <w:name w:val="heading 2"/>
    <w:basedOn w:val="Normal"/>
    <w:next w:val="Normal"/>
    <w:link w:val="Heading2Char"/>
    <w:autoRedefine/>
    <w:unhideWhenUsed/>
    <w:qFormat/>
    <w:rsid w:val="00EC5F6C"/>
    <w:pPr>
      <w:numPr>
        <w:numId w:val="1"/>
      </w:numPr>
      <w:spacing w:after="0" w:line="240" w:lineRule="auto"/>
      <w:ind w:left="850" w:right="30" w:hanging="360"/>
      <w:jc w:val="both"/>
      <w:outlineLvl w:val="1"/>
    </w:pPr>
    <w:rPr>
      <w:rFonts w:ascii="Arial" w:eastAsia="Arial" w:hAnsi="Arial" w:cs="Arial"/>
      <w:b/>
      <w:color w:val="0046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Citation List,본문(내용),List Paragraph (numbered (a)),body 2,List Paragraph1,List Paragraph11,bullets,Arial,List_Paragraph,Multilevel para_II,Paragraph,ANNEX,Bullet,bullet,bu,b,bullet1,B,b1,bullet 1,body,b Char Char Char"/>
    <w:basedOn w:val="Normal"/>
    <w:link w:val="ListParagraphChar"/>
    <w:uiPriority w:val="34"/>
    <w:qFormat/>
    <w:rsid w:val="00E86E36"/>
    <w:pPr>
      <w:ind w:left="720"/>
      <w:contextualSpacing/>
    </w:pPr>
  </w:style>
  <w:style w:type="paragraph" w:styleId="Header">
    <w:name w:val="header"/>
    <w:basedOn w:val="Normal"/>
    <w:link w:val="HeaderChar"/>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body 2 Char,List Paragraph1 Char,List Paragraph11 Char,bullets Char,Arial Char,List_Paragraph Char,Multilevel para_II Char,Paragraph Char,ANNEX Char"/>
    <w:link w:val="ListParagraph"/>
    <w:uiPriority w:val="34"/>
    <w:qFormat/>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3">
    <w:name w:val="Unresolved Mention3"/>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 w:type="paragraph" w:styleId="BodyText">
    <w:name w:val="Body Text"/>
    <w:basedOn w:val="Normal"/>
    <w:link w:val="BodyTextChar"/>
    <w:rsid w:val="000D7126"/>
    <w:pPr>
      <w:spacing w:after="0" w:line="240" w:lineRule="auto"/>
      <w:jc w:val="both"/>
    </w:pPr>
    <w:rPr>
      <w:rFonts w:ascii="Times New Roman" w:eastAsia="Times New Roman" w:hAnsi="Times New Roman" w:cs="Times New Roman"/>
      <w:sz w:val="24"/>
      <w:szCs w:val="24"/>
      <w:lang w:val="fr-FR"/>
    </w:rPr>
  </w:style>
  <w:style w:type="character" w:customStyle="1" w:styleId="BodyTextChar">
    <w:name w:val="Body Text Char"/>
    <w:basedOn w:val="DefaultParagraphFont"/>
    <w:link w:val="BodyText"/>
    <w:rsid w:val="000D7126"/>
    <w:rPr>
      <w:rFonts w:ascii="Times New Roman" w:eastAsia="Times New Roman" w:hAnsi="Times New Roman" w:cs="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94"/>
  </w:style>
  <w:style w:type="paragraph" w:styleId="Heading2">
    <w:name w:val="heading 2"/>
    <w:basedOn w:val="Normal"/>
    <w:next w:val="Normal"/>
    <w:link w:val="Heading2Char"/>
    <w:autoRedefine/>
    <w:unhideWhenUsed/>
    <w:qFormat/>
    <w:rsid w:val="00EC5F6C"/>
    <w:pPr>
      <w:numPr>
        <w:numId w:val="1"/>
      </w:numPr>
      <w:spacing w:after="0" w:line="240" w:lineRule="auto"/>
      <w:ind w:left="850" w:right="30" w:hanging="360"/>
      <w:jc w:val="both"/>
      <w:outlineLvl w:val="1"/>
    </w:pPr>
    <w:rPr>
      <w:rFonts w:ascii="Arial" w:eastAsia="Arial" w:hAnsi="Arial" w:cs="Arial"/>
      <w:b/>
      <w:color w:val="0046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Citation List,본문(내용),List Paragraph (numbered (a)),body 2,List Paragraph1,List Paragraph11,bullets,Arial,List_Paragraph,Multilevel para_II,Paragraph,ANNEX,Bullet,bullet,bu,b,bullet1,B,b1,bullet 1,body,b Char Char Char"/>
    <w:basedOn w:val="Normal"/>
    <w:link w:val="ListParagraphChar"/>
    <w:uiPriority w:val="34"/>
    <w:qFormat/>
    <w:rsid w:val="00E86E36"/>
    <w:pPr>
      <w:ind w:left="720"/>
      <w:contextualSpacing/>
    </w:pPr>
  </w:style>
  <w:style w:type="paragraph" w:styleId="Header">
    <w:name w:val="header"/>
    <w:basedOn w:val="Normal"/>
    <w:link w:val="HeaderChar"/>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body 2 Char,List Paragraph1 Char,List Paragraph11 Char,bullets Char,Arial Char,List_Paragraph Char,Multilevel para_II Char,Paragraph Char,ANNEX Char"/>
    <w:link w:val="ListParagraph"/>
    <w:uiPriority w:val="34"/>
    <w:qFormat/>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3">
    <w:name w:val="Unresolved Mention3"/>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 w:type="paragraph" w:styleId="BodyText">
    <w:name w:val="Body Text"/>
    <w:basedOn w:val="Normal"/>
    <w:link w:val="BodyTextChar"/>
    <w:rsid w:val="000D7126"/>
    <w:pPr>
      <w:spacing w:after="0" w:line="240" w:lineRule="auto"/>
      <w:jc w:val="both"/>
    </w:pPr>
    <w:rPr>
      <w:rFonts w:ascii="Times New Roman" w:eastAsia="Times New Roman" w:hAnsi="Times New Roman" w:cs="Times New Roman"/>
      <w:sz w:val="24"/>
      <w:szCs w:val="24"/>
      <w:lang w:val="fr-FR"/>
    </w:rPr>
  </w:style>
  <w:style w:type="character" w:customStyle="1" w:styleId="BodyTextChar">
    <w:name w:val="Body Text Char"/>
    <w:basedOn w:val="DefaultParagraphFont"/>
    <w:link w:val="BodyText"/>
    <w:rsid w:val="000D7126"/>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393892600">
      <w:bodyDiv w:val="1"/>
      <w:marLeft w:val="0"/>
      <w:marRight w:val="0"/>
      <w:marTop w:val="0"/>
      <w:marBottom w:val="0"/>
      <w:divBdr>
        <w:top w:val="none" w:sz="0" w:space="0" w:color="auto"/>
        <w:left w:val="none" w:sz="0" w:space="0" w:color="auto"/>
        <w:bottom w:val="none" w:sz="0" w:space="0" w:color="auto"/>
        <w:right w:val="none" w:sz="0" w:space="0" w:color="auto"/>
      </w:divBdr>
    </w:div>
    <w:div w:id="1047073668">
      <w:bodyDiv w:val="1"/>
      <w:marLeft w:val="0"/>
      <w:marRight w:val="0"/>
      <w:marTop w:val="0"/>
      <w:marBottom w:val="0"/>
      <w:divBdr>
        <w:top w:val="none" w:sz="0" w:space="0" w:color="auto"/>
        <w:left w:val="none" w:sz="0" w:space="0" w:color="auto"/>
        <w:bottom w:val="none" w:sz="0" w:space="0" w:color="auto"/>
        <w:right w:val="none" w:sz="0" w:space="0" w:color="auto"/>
      </w:divBdr>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952395150">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A50C-D894-45BD-BFA9-4348C377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Uifalean</dc:creator>
  <cp:lastModifiedBy>user</cp:lastModifiedBy>
  <cp:revision>2</cp:revision>
  <dcterms:created xsi:type="dcterms:W3CDTF">2025-10-23T12:29:00Z</dcterms:created>
  <dcterms:modified xsi:type="dcterms:W3CDTF">2025-10-23T12:29:00Z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