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6355BE">
      <w:pPr>
        <w:jc w:val="center"/>
      </w:pPr>
      <w:r>
        <w:rPr>
          <w:b/>
          <w:sz w:val="28"/>
        </w:rPr>
        <w:t>CONTRACT DE LUCRĂRI</w:t>
      </w:r>
    </w:p>
    <w:p w14:paraId="0ADD3E81">
      <w:pPr>
        <w:jc w:val="center"/>
      </w:pPr>
      <w:r>
        <w:rPr>
          <w:b/>
        </w:rPr>
        <w:t>nr. ________ / ____________</w:t>
      </w:r>
    </w:p>
    <w:p w14:paraId="64B3A4AA">
      <w:pPr>
        <w:jc w:val="center"/>
      </w:pPr>
      <w:r>
        <w:rPr>
          <w:b/>
        </w:rPr>
        <w:t>în temeiul Legii nr. 98/2016 și al H.G. nr. 395/2016, cu modificările și completările ulterioare</w:t>
      </w:r>
    </w:p>
    <w:p w14:paraId="5AC10ABD"/>
    <w:p w14:paraId="3AC5CD9A">
      <w:pPr>
        <w:pStyle w:val="2"/>
        <w:jc w:val="left"/>
      </w:pPr>
      <w:r>
        <w:rPr>
          <w:sz w:val="26"/>
        </w:rPr>
        <w:t>Articolul 1. Părțile contractante</w:t>
      </w:r>
    </w:p>
    <w:p w14:paraId="516D57B9">
      <w:r>
        <w:t xml:space="preserve">Spitalul Județean de Urgență Giurgiu, cu sediul în B-dul București nr. 18, Municipiul Giurgiu, județul Giurgiu, telefon 0246 211 141, fax 0246 216 293, cod fiscal ____________, cont ____________________ deschis la Trezoreria Municipiului Giurgiu, reprezentat prin </w:t>
      </w:r>
      <w:r>
        <w:rPr>
          <w:rFonts w:hint="default"/>
          <w:lang w:val="en-US"/>
        </w:rPr>
        <w:t>Ec. Rata Mihaela</w:t>
      </w:r>
      <w:r>
        <w:t>, având funcția de Manager, în calitate de achizitor, pe de o parte,</w:t>
      </w:r>
    </w:p>
    <w:p w14:paraId="6ACB38AF">
      <w:r>
        <w:t>și</w:t>
      </w:r>
    </w:p>
    <w:p w14:paraId="114A81AC">
      <w:r>
        <w:t>____________________ (denumirea operatorului economic), cu sediul în ____________________, telefon/fax ____________, număr de înmatriculare în Registrul Comerțului ____________, cod fiscal ____________, având cont ____________________ deschis la ____________________, reprezentat prin ____________________, având funcția de ____________________, în calitate de executant, pe de altă parte.</w:t>
      </w:r>
    </w:p>
    <w:p w14:paraId="725D4CC4">
      <w:pPr>
        <w:pStyle w:val="2"/>
        <w:jc w:val="left"/>
      </w:pPr>
      <w:r>
        <w:rPr>
          <w:sz w:val="26"/>
        </w:rPr>
        <w:t>Articolul 2. Definiții</w:t>
      </w:r>
    </w:p>
    <w:p w14:paraId="0056FEA2">
      <w:r>
        <w:t>În prezentul contract următorii termeni vor fi interpretați astfel: contract – prezentul contract și toate anexele sale; achizitor și executant – părțile contractante; prețul contractului – prețul plătibil executantului de către achizitor pentru îndeplinirea integrală și corespunzătoare a tuturor obligațiilor sale; amplasamentul lucrării – locul unde executantul execută lucrarea; forța majoră – orice eveniment extern, imprevizibil, absolut invincibil și inevitabil, care face imposibilă executarea contractului (războaie, revoluții, incendii, inundații sau alte catastrofe naturale, restricții apărute ca urmare a unei carantine, embargou, enumerarea fiind enunțiativă, nu exhaustivă); zi – zi calendaristică; an – 365 de zile; ordin administrativ – orice instrucțiune sau ordin emis de achizitor către executant privind execuția lucrărilor; act adițional – document ce modifică termenii și condițiile contractului; conflict de interese – orice eveniment care influențează capacitatea executantului de a-și exprima o opinie profesională obiectivă și imparțială; garanția de bună execuție – suma de bani constituită de contractant în scopul asigurării achizitorului de îndeplinirea cantitativă, calitativă și în perioada convenită a contractului; perioada de garanție acordată lucrărilor – perioada de timp cuprinsă între data recepției la terminarea lucrărilor și data recepției finale.</w:t>
      </w:r>
    </w:p>
    <w:p w14:paraId="2473310B">
      <w:pPr>
        <w:pStyle w:val="2"/>
        <w:jc w:val="left"/>
      </w:pPr>
      <w:r>
        <w:rPr>
          <w:sz w:val="26"/>
        </w:rPr>
        <w:t>Articolul 3. Interpretare</w:t>
      </w:r>
    </w:p>
    <w:p w14:paraId="722D4292">
      <w:r>
        <w:t>3.1. În prezentul contract, cu excepția unei prevederi contrare, cuvintele la forma singular vor include forma de plural și viceversa, acolo unde acest lucru este permis de context.</w:t>
      </w:r>
    </w:p>
    <w:p w14:paraId="4D5FBF84">
      <w:r>
        <w:t>3.2. Termenul „zi” sau „zile” reprezintă zile calendaristice, dacă nu se specifică în mod diferit.</w:t>
      </w:r>
    </w:p>
    <w:p w14:paraId="6D431B1E">
      <w:r>
        <w:t>3.3. Clauzele și expresiile vor fi interpretate prin raportare la întregul contract.</w:t>
      </w:r>
    </w:p>
    <w:p w14:paraId="42744AE1">
      <w:pPr>
        <w:pStyle w:val="2"/>
        <w:jc w:val="left"/>
      </w:pPr>
      <w:r>
        <w:rPr>
          <w:sz w:val="26"/>
        </w:rPr>
        <w:t>Articolul 4. Obiectul contractului</w:t>
      </w:r>
    </w:p>
    <w:p w14:paraId="026972AF">
      <w:r>
        <w:t xml:space="preserve">4.1. Executantul se obligă să execute lucrările aferente obiectivului de investiții </w:t>
      </w:r>
      <w:r>
        <w:rPr>
          <w:b/>
          <w:bCs/>
          <w:i/>
          <w:iCs/>
        </w:rPr>
        <w:t>„Producție de energie electrică din sursă regenerabilă solară pentru autoconsum în Secția Exterioară de Psihiatrie Vadu Lat, județul Giurgiu”</w:t>
      </w:r>
      <w:r>
        <w:t>, respectiv realizarea unei centrale electrice fotovoltaice de 23</w:t>
      </w:r>
      <w:r>
        <w:rPr>
          <w:rFonts w:hint="default"/>
          <w:lang w:val="en-US"/>
        </w:rPr>
        <w:t>6</w:t>
      </w:r>
      <w:r>
        <w:t>,</w:t>
      </w:r>
      <w:r>
        <w:rPr>
          <w:rFonts w:hint="default"/>
          <w:lang w:val="en-US"/>
        </w:rPr>
        <w:t>60</w:t>
      </w:r>
      <w:r>
        <w:t xml:space="preserve"> kWp și a instalațiilor aferente, în conformitate cu Proiectul tehnic, detaliile de execuție, autorizația de construire și obligațiile asumate prin prezentul contract.</w:t>
      </w:r>
    </w:p>
    <w:p w14:paraId="226147FE">
      <w:r>
        <w:t>4.2. Achizitorul se obligă să plătească executantului prețul convenit în prezentul contract pentru lucrările prevăzute la art. 4.1.</w:t>
      </w:r>
    </w:p>
    <w:p w14:paraId="09139965">
      <w:pPr>
        <w:pStyle w:val="2"/>
        <w:jc w:val="left"/>
      </w:pPr>
      <w:r>
        <w:rPr>
          <w:sz w:val="26"/>
        </w:rPr>
        <w:t>Articolul 5. Prețul contractului</w:t>
      </w:r>
    </w:p>
    <w:p w14:paraId="4FF0720F">
      <w:r>
        <w:t>5.1. Prețul convenit pentru îndeplinirea contractului, plătibil executantului de către achizitor conform graficului de plăți, este de ____________________ lei fără TVA, la care se adaugă TVA în valoare de ____________________ lei, conform propunerii financiare a executantului, anexă la prezentul contract.</w:t>
      </w:r>
    </w:p>
    <w:p w14:paraId="56549665">
      <w:r>
        <w:t>5.2. Prețul contractului este ferm și nu se ajustează pe toată durata de execuție a lucrărilor.</w:t>
      </w:r>
    </w:p>
    <w:p w14:paraId="061A7E95">
      <w:pPr>
        <w:pStyle w:val="2"/>
        <w:jc w:val="left"/>
      </w:pPr>
      <w:r>
        <w:rPr>
          <w:sz w:val="26"/>
        </w:rPr>
        <w:t>Articolul 6. Durata contractului</w:t>
      </w:r>
    </w:p>
    <w:p w14:paraId="4176BE18">
      <w:r>
        <w:t>6.1. Prezentul contract intră în vigoare la data semnării de către părți și își produce efectele până la încheierea procesului-verbal de recepție finală a lucrărilor contractate și eliberarea garanției de bună execuție.</w:t>
      </w:r>
    </w:p>
    <w:p w14:paraId="03677FC1">
      <w:r>
        <w:t>6.2. Durata de execuție a lucrărilor este de ____________________de la data emiterii ordinului de începere, conform Proiectului tehnic și graficului general de realizare a investiției.</w:t>
      </w:r>
    </w:p>
    <w:p w14:paraId="349CCB35">
      <w:pPr>
        <w:pStyle w:val="2"/>
        <w:jc w:val="left"/>
      </w:pPr>
      <w:r>
        <w:rPr>
          <w:sz w:val="26"/>
        </w:rPr>
        <w:t>Articolul 7. Executarea contractului</w:t>
      </w:r>
    </w:p>
    <w:p w14:paraId="7E2C7DA7">
      <w:r>
        <w:t>7.1. Executarea contractului începe după constituirea garanției de bună execuție și emiterea ordinului de începere a lucrărilor.</w:t>
      </w:r>
    </w:p>
    <w:p w14:paraId="0BDD61DD">
      <w:r>
        <w:t>7.2. Executarea contractului se face în conformitate cu graficul de îndeplinire, parte integrantă din prezentul contract.</w:t>
      </w:r>
    </w:p>
    <w:p w14:paraId="470007DE">
      <w:pPr>
        <w:pStyle w:val="2"/>
        <w:jc w:val="left"/>
      </w:pPr>
      <w:r>
        <w:rPr>
          <w:sz w:val="26"/>
        </w:rPr>
        <w:t>Articolul 8. Documentele contractului</w:t>
      </w:r>
    </w:p>
    <w:p w14:paraId="673AAC68">
      <w:r>
        <w:t>8.1. Documentele contractului, care fac parte integrantă din acesta, sunt: propunerea tehnică; propunerea financiară; caietul de sarcini și Proiectul tehnic; garanția de bună execuție; lista cu subcontractanții (dacă este cazul); graficul de îndeplinire a contractului; acordul/acordurile de asociere (dacă este cazul); angajamentul ferm de susținere din partea unui terț (dacă este cazul).</w:t>
      </w:r>
    </w:p>
    <w:p w14:paraId="50F50D0A">
      <w:r>
        <w:t>8.2. În cazul în care, pe parcursul îndeplinirii contractului, se constată că anumite elemente ale ofertei tehnice sunt inferioare sau nu corespund cerințelor prevăzute în caietul de sarcini, prevalează prevederile caietului de sarcini.</w:t>
      </w:r>
    </w:p>
    <w:p w14:paraId="64020AC1">
      <w:pPr>
        <w:pStyle w:val="2"/>
        <w:jc w:val="left"/>
      </w:pPr>
      <w:r>
        <w:rPr>
          <w:sz w:val="26"/>
        </w:rPr>
        <w:t>Articolul 9. Protecția patrimoniului cultural național</w:t>
      </w:r>
    </w:p>
    <w:p w14:paraId="3D636AF3">
      <w:r>
        <w:t>9.1. Toate fosilele, monedele, obiectele de valoare sau orice alte vestigii ori obiecte de interes arheologic sau geologic descoperite pe amplasamentul lucrării sunt considerate proprietatea absolută a achizitorului. Executantul are obligația de a lua toate precauțiile necesare pentru ca aceste obiecte să nu fie îndepărtate sau deteriorate și de a înștiința imediat achizitorul despre descoperire, urmând dispozițiile acestuia. Achizitorul are obligația de a înștiința organele de poliție și Comisia Monumentelor Istorice.</w:t>
      </w:r>
    </w:p>
    <w:p w14:paraId="2A0AC824">
      <w:pPr>
        <w:pStyle w:val="2"/>
        <w:jc w:val="left"/>
      </w:pPr>
      <w:r>
        <w:rPr>
          <w:sz w:val="26"/>
        </w:rPr>
        <w:t>Articolul 10. Obligațiile generale ale executantului</w:t>
      </w:r>
    </w:p>
    <w:p w14:paraId="7AACDB13">
      <w:r>
        <w:t>10.1. Codul de conduită. Executantul va acționa întotdeauna loial, imparțial și ca un consilier de încredere pentru achizitor, conform regulilor și codului de conduită al profesiei sale. Plățile către executant aferente contractului vor constitui singurul venit ori beneficiu ce poate deriva din acesta. Executantul și personalul său vor respecta secretul profesional pe perioada executării contractului și după încetarea acestuia.</w:t>
      </w:r>
    </w:p>
    <w:p w14:paraId="622D451F">
      <w:pPr>
        <w:rPr>
          <w:rFonts w:hint="default"/>
          <w:lang w:val="en-US"/>
        </w:rPr>
      </w:pPr>
      <w:r>
        <w:t>10.2. Conflictul de interese. Executantul va lua toate măsurile necesare pentru a preveni ori stopa orice situație care ar putea compromite executarea obiectivă și imparțială a contractului.</w:t>
      </w:r>
      <w:r>
        <w:rPr>
          <w:rFonts w:hint="default"/>
          <w:lang w:val="en-US"/>
        </w:rPr>
        <w:t xml:space="preserve">     </w:t>
      </w:r>
    </w:p>
    <w:p w14:paraId="545D6B7A">
      <w:r>
        <w:t>Orice conflict de interese apărut în timpul executării contractului trebuie notificat în scris achizitorului, în termen de 5 zile de la apariția acestuia.</w:t>
      </w:r>
    </w:p>
    <w:p w14:paraId="1EF0FFAA">
      <w:r>
        <w:t>10.3. Legislația muncii. Executantul va respecta întreaga legislație a muncii care se aplică personalului său, inclusiv prevederile privind angajarea, programul de lucru, sănătatea și securitatea muncii, asistența socială, și îi va asigura acestuia toate drepturile legale, precum și niveluri de salarizare și condiții de muncă conforme cu cele din ramura de activitate.</w:t>
      </w:r>
    </w:p>
    <w:p w14:paraId="1E8CD628">
      <w:r>
        <w:t>10.4. Sănătatea și securitatea muncii. Executantul va numi un responsabil care va răspunde pentru securitatea și prevenirea accidentelor pe șantier și poartă întreaga răspundere în cazul producerii accidentelor de muncă, în conformitate cu prevederile Legii nr. 319/2006 și ale Normelor metodologice aprobate prin H.G. nr. 1425/2006.</w:t>
      </w:r>
    </w:p>
    <w:p w14:paraId="1C007541">
      <w:r>
        <w:t>10.5. Obligațiile principale privind execuția lucrărilor:</w:t>
      </w:r>
    </w:p>
    <w:p w14:paraId="589F0558">
      <w:pPr>
        <w:pStyle w:val="23"/>
      </w:pPr>
      <w:r>
        <w:t>executantul are obligația de a executa și finaliza lucrările, precum și de a remedia viciile ascunse, cu atenția și promptitudinea cuvenită, în concordanță cu obligațiile asumate prin contract;</w:t>
      </w:r>
    </w:p>
    <w:p w14:paraId="679CECCA">
      <w:pPr>
        <w:pStyle w:val="23"/>
      </w:pPr>
      <w:r>
        <w:t>executantul are obligația de a supraveghea lucrările, de a asigura forța de muncă, materialele, instalațiile, echipamentele și toate celelalte obiecte cerute pentru îndeplinirea contractului;</w:t>
      </w:r>
    </w:p>
    <w:p w14:paraId="0A34E9D6">
      <w:pPr>
        <w:pStyle w:val="23"/>
      </w:pPr>
      <w:r>
        <w:t>executantul este pe deplin responsabil pentru conformitatea, stabilitatea și siguranța tuturor operațiunilor executate pe șantier, cu respectarea Legii nr. 10/1995 privind calitatea în construcții;</w:t>
      </w:r>
    </w:p>
    <w:p w14:paraId="2AFB7229">
      <w:pPr>
        <w:pStyle w:val="23"/>
      </w:pPr>
      <w:r>
        <w:t>executantul are obligația de a institui un sistem de asigurare a calității (PCCVI) și de a păstra pe șantier o copie a contractului, a documentației de execuție și a modificărilor, pentru consultarea de către Inspectoratul de Stat în Construcții și de către persoanele autorizate de achizitor;</w:t>
      </w:r>
    </w:p>
    <w:p w14:paraId="0B576A50">
      <w:pPr>
        <w:pStyle w:val="23"/>
      </w:pPr>
      <w:r>
        <w:t>executantul răspunde pentru viciile ascunse ale construcției ivite într-un interval de 10 ani de la recepția lucrării și, după împlinirea acestui termen, pe toată durata de existență a construcției, pentru viciile structurii de rezistență;</w:t>
      </w:r>
    </w:p>
    <w:p w14:paraId="33962341">
      <w:pPr>
        <w:pStyle w:val="23"/>
      </w:pPr>
      <w:r>
        <w:t>executantul are obligația de a aduce terenurile ocupate temporar la starea inițială și de a preda achizitorului, la terminarea lucrărilor, factura fiscală, situațiile de lucrări, procesul-verbal de recepție, documentele de calitate și conformitate, buletinele de verificări și măsurători și dosarul lucrării completat conform PCCVI.</w:t>
      </w:r>
    </w:p>
    <w:p w14:paraId="21D34430">
      <w:pPr>
        <w:pStyle w:val="2"/>
        <w:jc w:val="left"/>
      </w:pPr>
      <w:r>
        <w:rPr>
          <w:sz w:val="26"/>
        </w:rPr>
        <w:t>Articolul 11. Obligațiile achizitorului</w:t>
      </w:r>
    </w:p>
    <w:p w14:paraId="40EBBB88">
      <w:r>
        <w:t>11.1. Achizitorul are obligația de a obține toate autorizațiile și avizele necesare execuției lucrărilor și de a pune la dispoziția executantului, fără plată, amplasamentul lucrării liber de orice sarcină, suprafețele de teren necesare pentru depozitare și organizare de șantier, căile de acces și racordurile pentru utilități până la limita amplasamentului.</w:t>
      </w:r>
    </w:p>
    <w:p w14:paraId="2E861EEF">
      <w:r>
        <w:t>11.2. Achizitorul are obligația de a examina și măsura lucrările care devin ascunse în cel mult 7 zile de la notificarea executantului și de a numi un reprezentant (diriginte de șantier autorizat) cu experiență și calificare corespunzătoare pentru urmărirea execuției.</w:t>
      </w:r>
    </w:p>
    <w:p w14:paraId="6A5D7816">
      <w:r>
        <w:t>11.3. Achizitorul se obligă să plătească prețul contractului către executant în condițiile prevăzute la Articolul 5 și conform graficului de plăți.</w:t>
      </w:r>
    </w:p>
    <w:p w14:paraId="1ED4C5DA">
      <w:pPr>
        <w:pStyle w:val="2"/>
        <w:jc w:val="left"/>
      </w:pPr>
      <w:r>
        <w:rPr>
          <w:sz w:val="26"/>
        </w:rPr>
        <w:t>Articolul 12. Sancțiuni pentru neîndeplinirea culpabilă a obligațiilor</w:t>
      </w:r>
    </w:p>
    <w:p w14:paraId="63B6F836">
      <w:r>
        <w:t>12.1. În cazul în care, din vina sa exclusivă, executantul nu reușește să-și îndeplinească obligațiile asumate prin contract, achizitorul este îndreptățit de a deduce din prețul contractului, ca penalități, o sumă echivalentă cu 0,01% din prețul contractului pentru fiecare zi de întârziere, până la îndeplinirea efectivă a obligațiilor.</w:t>
      </w:r>
    </w:p>
    <w:p w14:paraId="7D5D1C69">
      <w:r>
        <w:t>12.2. În cazul în care achizitorul nu onorează facturile în termen de 30 de zile de la expirarea perioadei convenite, acesta are obligația de a plăti, ca penalități, o sumă echivalentă cu 0,01% din plata neefectuată pentru fiecare zi de întârziere, până la îndeplinirea efectivă a obligațiilor.</w:t>
      </w:r>
    </w:p>
    <w:p w14:paraId="7817DE74">
      <w:r>
        <w:t>12.3. Pentru prejudiciul provocat prin neexecutarea sau executarea necorespunzătoare a obligațiilor asumate, care depășește valoarea maximă a penalităților ce pot fi percepute, în completare, părțile datorează daune-interese în condițiile dreptului comun.</w:t>
      </w:r>
    </w:p>
    <w:p w14:paraId="46BE0126">
      <w:r>
        <w:t>12.4. Achizitorul își rezervă dreptul de a denunța unilateral contractul în condițiile art. 223 din Legea nr. 98/2016, precum și în situațiile prevăzute de lege.</w:t>
      </w:r>
    </w:p>
    <w:p w14:paraId="023EF623">
      <w:pPr>
        <w:pStyle w:val="2"/>
        <w:jc w:val="left"/>
      </w:pPr>
      <w:r>
        <w:rPr>
          <w:sz w:val="26"/>
        </w:rPr>
        <w:t>Articolul 13. Garanția de bună execuție a contractului</w:t>
      </w:r>
    </w:p>
    <w:p w14:paraId="44753C56">
      <w:r>
        <w:t>13.1. Executantul se obligă să constituie garanția de bună execuție a contractului în cuantum de 10% din prețul fără TVA al contractului, în conformitate cu prevederile art. 154 din Legea nr. 98/2016 și ale art. 39–40 din Anexa la H.G. nr. 395/2016, în termen de 5 zile lucrătoare de la semnarea contractului.</w:t>
      </w:r>
    </w:p>
    <w:p w14:paraId="60987BBF">
      <w:r>
        <w:t>13.2. În situația în care părțile convin prelungirea termenului de execuție, executantul are obligația de a prelungi valabilitatea garanției de bună execuție, în maximum 5 zile de la data intrării în vigoare a actului adițional.</w:t>
      </w:r>
    </w:p>
    <w:p w14:paraId="54D02A53">
      <w:r>
        <w:t>13.3. Achizitorul are dreptul de a emite pretenții asupra garanției de bună execuție, în limita prejudiciului creat, dacă executantul nu își execută, execută cu întârziere sau execută necorespunzător obligațiile asumate, cu notificarea prealabilă a executantului.</w:t>
      </w:r>
    </w:p>
    <w:p w14:paraId="50F4871F">
      <w:r>
        <w:t>13.4. Achizitorul se obligă să restituie garanția de bună execuție astfel: 70% din valoarea garanției în termen de 14 zile de la data încheierii procesului-verbal de recepție la terminarea lucrărilor, dacă nu a ridicat până la acea dată pretenții asupra ei; restul de 30% la expirarea perioadei de garanție a lucrărilor, pe baza procesului-verbal de recepție finală.</w:t>
      </w:r>
    </w:p>
    <w:p w14:paraId="4FF0895A">
      <w:pPr>
        <w:pStyle w:val="2"/>
        <w:jc w:val="left"/>
      </w:pPr>
      <w:r>
        <w:rPr>
          <w:sz w:val="26"/>
        </w:rPr>
        <w:t>Articolul 14. Recepția lucrărilor</w:t>
      </w:r>
    </w:p>
    <w:p w14:paraId="59D21A69">
      <w:r>
        <w:t>14.1. Recepția lucrărilor se realizează în două etape: recepția la terminarea lucrărilor și recepția finală la expirarea perioadei de garanție, în conformitate cu Regulamentul aprobat prin H.G. nr. 343/2017.</w:t>
      </w:r>
    </w:p>
    <w:p w14:paraId="6C4C0A61">
      <w:r>
        <w:t>14.2. Perioada de garanție acordată lucrărilor este de minimum 36 de luni de la data semnării procesului-verbal de recepție la terminarea lucrărilor.</w:t>
      </w:r>
    </w:p>
    <w:p w14:paraId="3C371C15">
      <w:pPr>
        <w:pStyle w:val="2"/>
        <w:jc w:val="left"/>
      </w:pPr>
      <w:r>
        <w:rPr>
          <w:sz w:val="26"/>
        </w:rPr>
        <w:t>Articolul 15. Cesiunea</w:t>
      </w:r>
    </w:p>
    <w:p w14:paraId="293D1A63">
      <w:r>
        <w:t>15.1. Executantul are obligația de a nu transfera total sau parțial obligațiile sale asumate prin contract. Este permisă doar cesiunea creanțelor născute din contract, în condițiile legii, cu acordul prealabil al achizitorului, obligațiile rămânând în sarcina părților contractante.</w:t>
      </w:r>
    </w:p>
    <w:p w14:paraId="282A09C1">
      <w:pPr>
        <w:pStyle w:val="2"/>
        <w:jc w:val="left"/>
      </w:pPr>
      <w:r>
        <w:rPr>
          <w:sz w:val="26"/>
        </w:rPr>
        <w:t>Articolul 16. Forța majoră</w:t>
      </w:r>
    </w:p>
    <w:p w14:paraId="6FC4F705">
      <w:r>
        <w:t>16.1. Forța majoră este constatată de o autoritate competentă și exonerează părțile de îndeplinirea obligațiilor asumate, pe toată perioada în care aceasta acționează. Partea care invocă forța majoră are obligația de a notifica cealaltă parte în mod complet și în termen de 5 zile de la producerea evenimentului.</w:t>
      </w:r>
    </w:p>
    <w:p w14:paraId="724566B6">
      <w:pPr>
        <w:pStyle w:val="2"/>
        <w:jc w:val="left"/>
      </w:pPr>
      <w:r>
        <w:rPr>
          <w:sz w:val="26"/>
        </w:rPr>
        <w:t>Articolul 17. Soluționarea litigiilor</w:t>
      </w:r>
    </w:p>
    <w:p w14:paraId="6B824389">
      <w:r>
        <w:t>17.1. Achizitorul și executantul vor depune toate eforturile pentru a rezolva pe cale amiabilă orice neînțelegere apărută în cadrul sau în legătură cu îndeplinirea contractului. Dacă soluționarea amiabilă nu este posibilă, litigiile vor fi soluționate de instanțele judecătorești competente din România.</w:t>
      </w:r>
    </w:p>
    <w:p w14:paraId="7F65BC80">
      <w:pPr>
        <w:pStyle w:val="2"/>
        <w:jc w:val="left"/>
      </w:pPr>
      <w:r>
        <w:rPr>
          <w:sz w:val="26"/>
        </w:rPr>
        <w:t>Articolul 18. Limba și legea aplicabilă; clauze finale</w:t>
      </w:r>
    </w:p>
    <w:p w14:paraId="7CFD83B1">
      <w:r>
        <w:t>18.1. Limba care guvernează contractul este limba română, iar legea aplicabilă este legea română.</w:t>
      </w:r>
    </w:p>
    <w:p w14:paraId="24B20D9F">
      <w:r>
        <w:t>18.2. Modificarea contractului se poate face numai prin act adițional, cu respectarea art. 221 din Legea nr. 98/2016. Prezentul contract, împreună cu anexele sale, reprezintă voința părților și înlătură orice altă înțelegere verbală dintre acestea, anterioară sau ulterioară încheierii lui.</w:t>
      </w:r>
    </w:p>
    <w:p w14:paraId="61323049"/>
    <w:p w14:paraId="5DC14B07">
      <w:bookmarkStart w:id="0" w:name="_GoBack"/>
      <w:bookmarkEnd w:id="0"/>
      <w:r>
        <w:t>Prezentul contract a fost încheiat astăzi, ____________, în două exemplare, câte unul pentru fiecare parte.</w:t>
      </w:r>
    </w:p>
    <w:p w14:paraId="5B682335"/>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9"/>
        <w:gridCol w:w="4819"/>
      </w:tblGrid>
      <w:tr w14:paraId="048B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9" w:type="dxa"/>
            <w:shd w:val="clear" w:color="auto" w:fill="FFFFFF"/>
          </w:tcPr>
          <w:p w14:paraId="451B9606">
            <w:pPr>
              <w:spacing w:line="240" w:lineRule="auto"/>
              <w:jc w:val="center"/>
            </w:pPr>
            <w:r>
              <w:rPr>
                <w:b/>
                <w:sz w:val="22"/>
              </w:rPr>
              <w:t>ACHIZITOR</w:t>
            </w:r>
          </w:p>
        </w:tc>
        <w:tc>
          <w:tcPr>
            <w:tcW w:w="4819" w:type="dxa"/>
            <w:shd w:val="clear" w:color="auto" w:fill="FFFFFF"/>
          </w:tcPr>
          <w:p w14:paraId="4E5741FD">
            <w:pPr>
              <w:spacing w:line="240" w:lineRule="auto"/>
              <w:jc w:val="center"/>
            </w:pPr>
            <w:r>
              <w:rPr>
                <w:b/>
                <w:sz w:val="22"/>
              </w:rPr>
              <w:t>EXECUTANT</w:t>
            </w:r>
          </w:p>
        </w:tc>
      </w:tr>
      <w:tr w14:paraId="49EE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9" w:type="dxa"/>
          </w:tcPr>
          <w:p w14:paraId="746CDC00">
            <w:pPr>
              <w:spacing w:line="240" w:lineRule="auto"/>
            </w:pPr>
            <w:r>
              <w:rPr>
                <w:sz w:val="22"/>
              </w:rPr>
              <w:t>Spitalul Județean de Urgență Giurgiu</w:t>
            </w:r>
          </w:p>
        </w:tc>
        <w:tc>
          <w:tcPr>
            <w:tcW w:w="4819" w:type="dxa"/>
          </w:tcPr>
          <w:p w14:paraId="0F40F473">
            <w:pPr>
              <w:spacing w:line="240" w:lineRule="auto"/>
            </w:pPr>
            <w:r>
              <w:rPr>
                <w:sz w:val="22"/>
              </w:rPr>
              <w:t>____________________</w:t>
            </w:r>
          </w:p>
        </w:tc>
      </w:tr>
      <w:tr w14:paraId="1046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9" w:type="dxa"/>
          </w:tcPr>
          <w:p w14:paraId="5F40C58B">
            <w:pPr>
              <w:spacing w:line="240" w:lineRule="auto"/>
            </w:pPr>
            <w:r>
              <w:rPr>
                <w:sz w:val="22"/>
              </w:rPr>
              <w:t>Manager,</w:t>
            </w:r>
          </w:p>
        </w:tc>
        <w:tc>
          <w:tcPr>
            <w:tcW w:w="4819" w:type="dxa"/>
          </w:tcPr>
          <w:p w14:paraId="52E758CF">
            <w:pPr>
              <w:spacing w:line="240" w:lineRule="auto"/>
            </w:pPr>
            <w:r>
              <w:rPr>
                <w:sz w:val="22"/>
              </w:rPr>
              <w:t>Reprezentant legal,</w:t>
            </w:r>
          </w:p>
        </w:tc>
      </w:tr>
      <w:tr w14:paraId="4CF8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9" w:type="dxa"/>
          </w:tcPr>
          <w:p w14:paraId="0BD6683A">
            <w:pPr>
              <w:spacing w:line="240" w:lineRule="auto"/>
            </w:pPr>
          </w:p>
        </w:tc>
        <w:tc>
          <w:tcPr>
            <w:tcW w:w="4819" w:type="dxa"/>
          </w:tcPr>
          <w:p w14:paraId="3B692D39">
            <w:pPr>
              <w:spacing w:line="240" w:lineRule="auto"/>
            </w:pPr>
            <w:r>
              <w:rPr>
                <w:sz w:val="22"/>
              </w:rPr>
              <w:t>____________________</w:t>
            </w:r>
          </w:p>
        </w:tc>
      </w:tr>
      <w:tr w14:paraId="2545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9" w:type="dxa"/>
          </w:tcPr>
          <w:p w14:paraId="7A399BCF">
            <w:pPr>
              <w:spacing w:line="240" w:lineRule="auto"/>
            </w:pPr>
          </w:p>
        </w:tc>
        <w:tc>
          <w:tcPr>
            <w:tcW w:w="4819" w:type="dxa"/>
          </w:tcPr>
          <w:p w14:paraId="0F1B4C2A">
            <w:pPr>
              <w:spacing w:line="240" w:lineRule="auto"/>
            </w:pPr>
          </w:p>
        </w:tc>
      </w:tr>
      <w:tr w14:paraId="0729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19" w:type="dxa"/>
          </w:tcPr>
          <w:p w14:paraId="79343CA4">
            <w:pPr>
              <w:spacing w:line="240" w:lineRule="auto"/>
            </w:pPr>
            <w:r>
              <w:rPr>
                <w:sz w:val="22"/>
              </w:rPr>
              <w:t>Viză CFP / Compartiment juridic / Achiziții</w:t>
            </w:r>
          </w:p>
        </w:tc>
        <w:tc>
          <w:tcPr>
            <w:tcW w:w="4819" w:type="dxa"/>
          </w:tcPr>
          <w:p w14:paraId="64074D32">
            <w:pPr>
              <w:spacing w:line="240" w:lineRule="auto"/>
            </w:pPr>
          </w:p>
        </w:tc>
      </w:tr>
    </w:tbl>
    <w:p w14:paraId="5B59B3E4"/>
    <w:sectPr>
      <w:pgSz w:w="12240" w:h="15840"/>
      <w:pgMar w:top="1134" w:right="1134" w:bottom="1134"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24D6"/>
    <w:rsid w:val="0006063C"/>
    <w:rsid w:val="0015074B"/>
    <w:rsid w:val="001B6FCD"/>
    <w:rsid w:val="0029639D"/>
    <w:rsid w:val="00326F90"/>
    <w:rsid w:val="003769E5"/>
    <w:rsid w:val="006114FA"/>
    <w:rsid w:val="00AA1D8D"/>
    <w:rsid w:val="00B22D2B"/>
    <w:rsid w:val="00B2642C"/>
    <w:rsid w:val="00B47730"/>
    <w:rsid w:val="00CB0664"/>
    <w:rsid w:val="00ED307B"/>
    <w:rsid w:val="00FC693F"/>
    <w:rsid w:val="22113C03"/>
    <w:rsid w:val="4D265FA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uiPriority="99" w:semiHidden="0" w:name="List Bullet"/>
    <w:lsdException w:qFormat="1"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qFormat="1"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360" w:lineRule="auto"/>
      <w:jc w:val="both"/>
    </w:pPr>
    <w:rPr>
      <w:rFonts w:ascii="Times New Roman" w:hAnsi="Times New Roman" w:eastAsiaTheme="minorEastAsia" w:cstheme="minorBidi"/>
      <w:sz w:val="24"/>
      <w:szCs w:val="22"/>
      <w:lang w:val="en-US" w:eastAsia="en-US" w:bidi="ar-SA"/>
    </w:rPr>
  </w:style>
  <w:style w:type="paragraph" w:styleId="2">
    <w:name w:val="heading 1"/>
    <w:basedOn w:val="1"/>
    <w:next w:val="1"/>
    <w:link w:val="138"/>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139"/>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140"/>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150"/>
    <w:semiHidden/>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line="240" w:lineRule="auto"/>
    </w:pPr>
  </w:style>
  <w:style w:type="paragraph" w:styleId="19">
    <w:name w:val="header"/>
    <w:basedOn w:val="1"/>
    <w:link w:val="135"/>
    <w:unhideWhenUsed/>
    <w:uiPriority w:val="99"/>
    <w:pPr>
      <w:tabs>
        <w:tab w:val="center" w:pos="4680"/>
        <w:tab w:val="right" w:pos="9360"/>
      </w:tabs>
      <w:spacing w:line="240" w:lineRule="auto"/>
    </w:pPr>
  </w:style>
  <w:style w:type="paragraph" w:styleId="20">
    <w:name w:val="List"/>
    <w:basedOn w:val="1"/>
    <w:unhideWhenUsed/>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Antet Caracter"/>
    <w:basedOn w:val="11"/>
    <w:link w:val="19"/>
    <w:qFormat/>
    <w:uiPriority w:val="99"/>
  </w:style>
  <w:style w:type="character" w:customStyle="1" w:styleId="136">
    <w:name w:val="Subsol Caracte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Titlu 1 Caracte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Titlu 2 Caracte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Titlu 3 Caracte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u Caracte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u Caracte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Corp text Caracter"/>
    <w:basedOn w:val="11"/>
    <w:link w:val="13"/>
    <w:uiPriority w:val="99"/>
  </w:style>
  <w:style w:type="character" w:customStyle="1" w:styleId="145">
    <w:name w:val="Corp text 2 Caracter"/>
    <w:basedOn w:val="11"/>
    <w:link w:val="14"/>
    <w:qFormat/>
    <w:uiPriority w:val="99"/>
  </w:style>
  <w:style w:type="character" w:customStyle="1" w:styleId="146">
    <w:name w:val="Corp text 3 Caracter"/>
    <w:basedOn w:val="11"/>
    <w:link w:val="15"/>
    <w:uiPriority w:val="99"/>
    <w:rPr>
      <w:sz w:val="16"/>
      <w:szCs w:val="16"/>
    </w:rPr>
  </w:style>
  <w:style w:type="character" w:customStyle="1" w:styleId="147">
    <w:name w:val="Text macrocomandă Caracte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Citat Caracter"/>
    <w:basedOn w:val="11"/>
    <w:link w:val="148"/>
    <w:uiPriority w:val="29"/>
    <w:rPr>
      <w:i/>
      <w:iCs/>
      <w:color w:val="000000" w:themeColor="text1"/>
      <w14:textFill>
        <w14:solidFill>
          <w14:schemeClr w14:val="tx1"/>
        </w14:solidFill>
      </w14:textFill>
    </w:rPr>
  </w:style>
  <w:style w:type="character" w:customStyle="1" w:styleId="150">
    <w:name w:val="Titlu 4 Caracte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Titlu 5 Caracte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Titlu 6 Caracte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Titlu 7 Caracte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Titlu 8 Caracte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Titlu 9 Caracte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Citat intens Caracte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7</Pages>
  <Words>1939</Words>
  <Characters>12137</Characters>
  <Lines>100</Lines>
  <Paragraphs>28</Paragraphs>
  <TotalTime>12</TotalTime>
  <ScaleCrop>false</ScaleCrop>
  <LinksUpToDate>false</LinksUpToDate>
  <CharactersWithSpaces>13999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tehnic</dc:creator>
  <cp:lastModifiedBy>WPS_1709884809</cp:lastModifiedBy>
  <dcterms:modified xsi:type="dcterms:W3CDTF">2026-07-09T12:37:51Z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eyJoZGlkIjoiMzU5NTA4YmE5YmI4ZTY4NTUwNzQzMGEyMzUyZDM0YTYiLCJ1c2VySWQiOiIzNzI4NTUxNjQyNzcxIn0=</vt:lpwstr>
  </property>
  <property fmtid="{D5CDD505-2E9C-101B-9397-08002B2CF9AE}" pid="3" name="KSOProductBuildVer">
    <vt:lpwstr>1033-12.1.0.26880</vt:lpwstr>
  </property>
  <property fmtid="{D5CDD505-2E9C-101B-9397-08002B2CF9AE}" pid="4" name="ICV">
    <vt:lpwstr>13C1AF7E97C8476E9EC5113D0485EA04_12</vt:lpwstr>
  </property>
</Properties>
</file>