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13C2" w14:textId="77777777" w:rsidR="004902EF" w:rsidRDefault="004902EF" w:rsidP="007F190F">
      <w:pPr>
        <w:rPr>
          <w:rFonts w:ascii="Tahoma" w:hAnsi="Tahoma" w:cs="Tahoma"/>
          <w:b/>
          <w:bCs/>
          <w:sz w:val="24"/>
          <w:szCs w:val="24"/>
        </w:rPr>
      </w:pPr>
    </w:p>
    <w:p w14:paraId="76D7CBB3" w14:textId="55B48C4C" w:rsidR="0046182F" w:rsidRDefault="00E87ABD" w:rsidP="00E87ABD">
      <w:pPr>
        <w:jc w:val="center"/>
        <w:rPr>
          <w:rFonts w:ascii="Tahoma" w:hAnsi="Tahoma" w:cs="Tahoma"/>
          <w:b/>
          <w:bCs/>
          <w:sz w:val="24"/>
          <w:szCs w:val="24"/>
        </w:rPr>
      </w:pPr>
      <w:proofErr w:type="spellStart"/>
      <w:r w:rsidRPr="00E87ABD">
        <w:rPr>
          <w:rFonts w:ascii="Tahoma" w:hAnsi="Tahoma" w:cs="Tahoma"/>
          <w:b/>
          <w:bCs/>
          <w:sz w:val="24"/>
          <w:szCs w:val="24"/>
        </w:rPr>
        <w:t>Informații</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privind</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constituirea</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garanțiilor</w:t>
      </w:r>
      <w:proofErr w:type="spellEnd"/>
      <w:r w:rsidRPr="00E87ABD">
        <w:rPr>
          <w:rFonts w:ascii="Tahoma" w:hAnsi="Tahoma" w:cs="Tahoma"/>
          <w:b/>
          <w:bCs/>
          <w:sz w:val="24"/>
          <w:szCs w:val="24"/>
        </w:rPr>
        <w:t xml:space="preserve"> de </w:t>
      </w:r>
      <w:proofErr w:type="spellStart"/>
      <w:r w:rsidRPr="00E87ABD">
        <w:rPr>
          <w:rFonts w:ascii="Tahoma" w:hAnsi="Tahoma" w:cs="Tahoma"/>
          <w:b/>
          <w:bCs/>
          <w:sz w:val="24"/>
          <w:szCs w:val="24"/>
        </w:rPr>
        <w:t>participare</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și</w:t>
      </w:r>
      <w:proofErr w:type="spellEnd"/>
      <w:r w:rsidRPr="00E87ABD">
        <w:rPr>
          <w:rFonts w:ascii="Tahoma" w:hAnsi="Tahoma" w:cs="Tahoma"/>
          <w:b/>
          <w:bCs/>
          <w:sz w:val="24"/>
          <w:szCs w:val="24"/>
        </w:rPr>
        <w:t xml:space="preserve"> de </w:t>
      </w:r>
      <w:proofErr w:type="spellStart"/>
      <w:r w:rsidRPr="00E87ABD">
        <w:rPr>
          <w:rFonts w:ascii="Tahoma" w:hAnsi="Tahoma" w:cs="Tahoma"/>
          <w:b/>
          <w:bCs/>
          <w:sz w:val="24"/>
          <w:szCs w:val="24"/>
        </w:rPr>
        <w:t>bună</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execuție</w:t>
      </w:r>
      <w:proofErr w:type="spellEnd"/>
    </w:p>
    <w:p w14:paraId="411A2CEA" w14:textId="3CBAD478" w:rsidR="00E87ABD" w:rsidRDefault="00E87ABD" w:rsidP="00E87ABD">
      <w:pPr>
        <w:jc w:val="both"/>
        <w:rPr>
          <w:rFonts w:ascii="Tahoma" w:hAnsi="Tahoma" w:cs="Tahoma"/>
          <w:b/>
          <w:bCs/>
        </w:rPr>
      </w:pPr>
    </w:p>
    <w:p w14:paraId="6675DE87" w14:textId="4A19C558" w:rsidR="00E87ABD" w:rsidRPr="005930DE" w:rsidRDefault="00E87ABD" w:rsidP="0096557A">
      <w:pPr>
        <w:ind w:firstLine="720"/>
        <w:jc w:val="both"/>
        <w:rPr>
          <w:rFonts w:ascii="Tahoma" w:eastAsia="Times New Roman" w:hAnsi="Tahoma" w:cs="Tahoma"/>
          <w:b/>
          <w:lang w:val="pt-BR"/>
        </w:rPr>
      </w:pPr>
      <w:proofErr w:type="spellStart"/>
      <w:r>
        <w:rPr>
          <w:rFonts w:ascii="Tahoma" w:hAnsi="Tahoma" w:cs="Tahoma"/>
        </w:rPr>
        <w:t>Deoarece</w:t>
      </w:r>
      <w:proofErr w:type="spellEnd"/>
      <w:r>
        <w:rPr>
          <w:rFonts w:ascii="Tahoma" w:hAnsi="Tahoma" w:cs="Tahoma"/>
        </w:rPr>
        <w:t xml:space="preserve"> din motive </w:t>
      </w:r>
      <w:proofErr w:type="spellStart"/>
      <w:r>
        <w:rPr>
          <w:rFonts w:ascii="Tahoma" w:hAnsi="Tahoma" w:cs="Tahoma"/>
        </w:rPr>
        <w:t>tehnice</w:t>
      </w:r>
      <w:proofErr w:type="spellEnd"/>
      <w:r w:rsidR="00D0791A">
        <w:rPr>
          <w:rFonts w:ascii="Tahoma" w:hAnsi="Tahoma" w:cs="Tahoma"/>
        </w:rPr>
        <w:t>*</w:t>
      </w:r>
      <w:r>
        <w:rPr>
          <w:rFonts w:ascii="Tahoma" w:hAnsi="Tahoma" w:cs="Tahoma"/>
        </w:rPr>
        <w:t xml:space="preserve"> SEAP nu </w:t>
      </w:r>
      <w:proofErr w:type="spellStart"/>
      <w:r>
        <w:rPr>
          <w:rFonts w:ascii="Tahoma" w:hAnsi="Tahoma" w:cs="Tahoma"/>
        </w:rPr>
        <w:t>permite</w:t>
      </w:r>
      <w:proofErr w:type="spellEnd"/>
      <w:r>
        <w:rPr>
          <w:rFonts w:ascii="Tahoma" w:hAnsi="Tahoma" w:cs="Tahoma"/>
        </w:rPr>
        <w:t xml:space="preserve"> </w:t>
      </w:r>
      <w:proofErr w:type="spellStart"/>
      <w:r>
        <w:rPr>
          <w:rFonts w:ascii="Tahoma" w:hAnsi="Tahoma" w:cs="Tahoma"/>
        </w:rPr>
        <w:t>posibilitatea</w:t>
      </w:r>
      <w:proofErr w:type="spellEnd"/>
      <w:r>
        <w:rPr>
          <w:rFonts w:ascii="Tahoma" w:hAnsi="Tahoma" w:cs="Tahoma"/>
        </w:rPr>
        <w:t xml:space="preserve"> </w:t>
      </w:r>
      <w:proofErr w:type="spellStart"/>
      <w:r>
        <w:rPr>
          <w:rFonts w:ascii="Tahoma" w:hAnsi="Tahoma" w:cs="Tahoma"/>
        </w:rPr>
        <w:t>detalierii</w:t>
      </w:r>
      <w:proofErr w:type="spellEnd"/>
      <w:r>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cadrul</w:t>
      </w:r>
      <w:proofErr w:type="spellEnd"/>
      <w:r>
        <w:rPr>
          <w:rFonts w:ascii="Tahoma" w:hAnsi="Tahoma" w:cs="Tahoma"/>
        </w:rPr>
        <w:t xml:space="preserve"> </w:t>
      </w:r>
      <w:proofErr w:type="spellStart"/>
      <w:r>
        <w:rPr>
          <w:rFonts w:ascii="Tahoma" w:hAnsi="Tahoma" w:cs="Tahoma"/>
        </w:rPr>
        <w:t>Secțiunii</w:t>
      </w:r>
      <w:proofErr w:type="spellEnd"/>
      <w:r>
        <w:rPr>
          <w:rFonts w:ascii="Tahoma" w:hAnsi="Tahoma" w:cs="Tahoma"/>
        </w:rPr>
        <w:t xml:space="preserve"> 1</w:t>
      </w:r>
      <w:r w:rsidR="005930DE">
        <w:rPr>
          <w:rFonts w:ascii="Tahoma" w:hAnsi="Tahoma" w:cs="Tahoma"/>
        </w:rPr>
        <w:t xml:space="preserve"> </w:t>
      </w:r>
      <w:r>
        <w:rPr>
          <w:rFonts w:ascii="Tahoma" w:hAnsi="Tahoma" w:cs="Tahoma"/>
        </w:rPr>
        <w:t xml:space="preserve">a </w:t>
      </w:r>
      <w:proofErr w:type="spellStart"/>
      <w:r>
        <w:rPr>
          <w:rFonts w:ascii="Tahoma" w:hAnsi="Tahoma" w:cs="Tahoma"/>
        </w:rPr>
        <w:t>modalității</w:t>
      </w:r>
      <w:proofErr w:type="spellEnd"/>
      <w:r>
        <w:rPr>
          <w:rFonts w:ascii="Tahoma" w:hAnsi="Tahoma" w:cs="Tahoma"/>
        </w:rPr>
        <w:t xml:space="preserve"> de </w:t>
      </w:r>
      <w:proofErr w:type="spellStart"/>
      <w:r>
        <w:rPr>
          <w:rFonts w:ascii="Tahoma" w:hAnsi="Tahoma" w:cs="Tahoma"/>
        </w:rPr>
        <w:t>constituire</w:t>
      </w:r>
      <w:proofErr w:type="spellEnd"/>
      <w:r>
        <w:rPr>
          <w:rFonts w:ascii="Tahoma" w:hAnsi="Tahoma" w:cs="Tahoma"/>
        </w:rPr>
        <w:t xml:space="preserve"> a </w:t>
      </w:r>
      <w:proofErr w:type="spellStart"/>
      <w:r>
        <w:rPr>
          <w:rFonts w:ascii="Tahoma" w:hAnsi="Tahoma" w:cs="Tahoma"/>
        </w:rPr>
        <w:t>Garanției</w:t>
      </w:r>
      <w:proofErr w:type="spellEnd"/>
      <w:r>
        <w:rPr>
          <w:rFonts w:ascii="Tahoma" w:hAnsi="Tahoma" w:cs="Tahoma"/>
        </w:rPr>
        <w:t xml:space="preserve"> de </w:t>
      </w:r>
      <w:proofErr w:type="spellStart"/>
      <w:r>
        <w:rPr>
          <w:rFonts w:ascii="Tahoma" w:hAnsi="Tahoma" w:cs="Tahoma"/>
        </w:rPr>
        <w:t>participare</w:t>
      </w:r>
      <w:proofErr w:type="spellEnd"/>
      <w:r>
        <w:rPr>
          <w:rFonts w:ascii="Tahoma" w:hAnsi="Tahoma" w:cs="Tahoma"/>
        </w:rPr>
        <w:t xml:space="preserve"> </w:t>
      </w:r>
      <w:proofErr w:type="spellStart"/>
      <w:r>
        <w:rPr>
          <w:rFonts w:ascii="Tahoma" w:hAnsi="Tahoma" w:cs="Tahoma"/>
        </w:rPr>
        <w:t>și</w:t>
      </w:r>
      <w:proofErr w:type="spellEnd"/>
      <w:r>
        <w:rPr>
          <w:rFonts w:ascii="Tahoma" w:hAnsi="Tahoma" w:cs="Tahoma"/>
        </w:rPr>
        <w:t xml:space="preserve">, </w:t>
      </w:r>
      <w:proofErr w:type="spellStart"/>
      <w:r>
        <w:rPr>
          <w:rFonts w:ascii="Tahoma" w:hAnsi="Tahoma" w:cs="Tahoma"/>
        </w:rPr>
        <w:t>respectiv</w:t>
      </w:r>
      <w:proofErr w:type="spellEnd"/>
      <w:r>
        <w:rPr>
          <w:rFonts w:ascii="Tahoma" w:hAnsi="Tahoma" w:cs="Tahoma"/>
        </w:rPr>
        <w:t xml:space="preserve">, a </w:t>
      </w:r>
      <w:proofErr w:type="spellStart"/>
      <w:r>
        <w:rPr>
          <w:rFonts w:ascii="Tahoma" w:hAnsi="Tahoma" w:cs="Tahoma"/>
        </w:rPr>
        <w:t>Garanției</w:t>
      </w:r>
      <w:proofErr w:type="spellEnd"/>
      <w:r>
        <w:rPr>
          <w:rFonts w:ascii="Tahoma" w:hAnsi="Tahoma" w:cs="Tahoma"/>
        </w:rPr>
        <w:t xml:space="preserve"> de </w:t>
      </w:r>
      <w:proofErr w:type="spellStart"/>
      <w:r>
        <w:rPr>
          <w:rFonts w:ascii="Tahoma" w:hAnsi="Tahoma" w:cs="Tahoma"/>
        </w:rPr>
        <w:t>bună</w:t>
      </w:r>
      <w:proofErr w:type="spellEnd"/>
      <w:r>
        <w:rPr>
          <w:rFonts w:ascii="Tahoma" w:hAnsi="Tahoma" w:cs="Tahoma"/>
        </w:rPr>
        <w:t xml:space="preserve"> </w:t>
      </w:r>
      <w:proofErr w:type="spellStart"/>
      <w:r>
        <w:rPr>
          <w:rFonts w:ascii="Tahoma" w:hAnsi="Tahoma" w:cs="Tahoma"/>
        </w:rPr>
        <w:t>execuție</w:t>
      </w:r>
      <w:proofErr w:type="spellEnd"/>
      <w:r>
        <w:rPr>
          <w:rFonts w:ascii="Tahoma" w:hAnsi="Tahoma" w:cs="Tahoma"/>
        </w:rPr>
        <w:t xml:space="preserve">, </w:t>
      </w:r>
      <w:proofErr w:type="spellStart"/>
      <w:r>
        <w:rPr>
          <w:rFonts w:ascii="Tahoma" w:hAnsi="Tahoma" w:cs="Tahoma"/>
        </w:rPr>
        <w:t>regăsiți</w:t>
      </w:r>
      <w:proofErr w:type="spellEnd"/>
      <w:r>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cele</w:t>
      </w:r>
      <w:proofErr w:type="spellEnd"/>
      <w:r>
        <w:rPr>
          <w:rFonts w:ascii="Tahoma" w:hAnsi="Tahoma" w:cs="Tahoma"/>
        </w:rPr>
        <w:t xml:space="preserve"> </w:t>
      </w:r>
      <w:proofErr w:type="spellStart"/>
      <w:r>
        <w:rPr>
          <w:rFonts w:ascii="Tahoma" w:hAnsi="Tahoma" w:cs="Tahoma"/>
        </w:rPr>
        <w:t>ce</w:t>
      </w:r>
      <w:proofErr w:type="spellEnd"/>
      <w:r>
        <w:rPr>
          <w:rFonts w:ascii="Tahoma" w:hAnsi="Tahoma" w:cs="Tahoma"/>
        </w:rPr>
        <w:t xml:space="preserve"> </w:t>
      </w:r>
      <w:proofErr w:type="spellStart"/>
      <w:r>
        <w:rPr>
          <w:rFonts w:ascii="Tahoma" w:hAnsi="Tahoma" w:cs="Tahoma"/>
        </w:rPr>
        <w:t>urmează</w:t>
      </w:r>
      <w:proofErr w:type="spellEnd"/>
      <w:r>
        <w:rPr>
          <w:rFonts w:ascii="Tahoma" w:hAnsi="Tahoma" w:cs="Tahoma"/>
        </w:rPr>
        <w:t xml:space="preserve"> </w:t>
      </w:r>
      <w:proofErr w:type="spellStart"/>
      <w:r>
        <w:rPr>
          <w:rFonts w:ascii="Tahoma" w:hAnsi="Tahoma" w:cs="Tahoma"/>
        </w:rPr>
        <w:t>aceste</w:t>
      </w:r>
      <w:proofErr w:type="spellEnd"/>
      <w:r>
        <w:rPr>
          <w:rFonts w:ascii="Tahoma" w:hAnsi="Tahoma" w:cs="Tahoma"/>
        </w:rPr>
        <w:t xml:space="preserve"> </w:t>
      </w:r>
      <w:proofErr w:type="spellStart"/>
      <w:r>
        <w:rPr>
          <w:rFonts w:ascii="Tahoma" w:hAnsi="Tahoma" w:cs="Tahoma"/>
        </w:rPr>
        <w:t>informații</w:t>
      </w:r>
      <w:proofErr w:type="spellEnd"/>
      <w:r>
        <w:rPr>
          <w:rFonts w:ascii="Tahoma" w:hAnsi="Tahoma" w:cs="Tahoma"/>
        </w:rPr>
        <w:t>:</w:t>
      </w:r>
    </w:p>
    <w:tbl>
      <w:tblPr>
        <w:tblW w:w="102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87ABD" w:rsidRPr="00E87ABD" w14:paraId="7C2E325B" w14:textId="77777777" w:rsidTr="00250776">
        <w:tc>
          <w:tcPr>
            <w:tcW w:w="10290" w:type="dxa"/>
          </w:tcPr>
          <w:p w14:paraId="7D1DD2D5" w14:textId="77777777" w:rsidR="00E87ABD" w:rsidRPr="00E87ABD" w:rsidRDefault="00E87ABD" w:rsidP="00E87ABD">
            <w:pPr>
              <w:spacing w:after="0" w:line="240" w:lineRule="auto"/>
              <w:rPr>
                <w:rFonts w:ascii="Tahoma" w:eastAsia="Times New Roman" w:hAnsi="Tahoma" w:cs="Tahoma"/>
                <w:lang w:val="it-IT"/>
              </w:rPr>
            </w:pPr>
            <w:r w:rsidRPr="00E87ABD">
              <w:rPr>
                <w:rFonts w:ascii="Tahoma" w:eastAsia="Times New Roman" w:hAnsi="Tahoma" w:cs="Tahoma"/>
                <w:lang w:val="it-IT"/>
              </w:rPr>
              <w:t>III.1.6) Depozite valorice şi garanţii solicitate</w:t>
            </w:r>
          </w:p>
        </w:tc>
      </w:tr>
      <w:tr w:rsidR="007F190F" w:rsidRPr="00E87ABD" w14:paraId="0335F279" w14:textId="77777777" w:rsidTr="00250776">
        <w:tc>
          <w:tcPr>
            <w:tcW w:w="10290" w:type="dxa"/>
          </w:tcPr>
          <w:p w14:paraId="4DBC1709" w14:textId="77777777" w:rsidR="007F190F" w:rsidRPr="00B81602" w:rsidRDefault="007F190F" w:rsidP="007F190F">
            <w:pPr>
              <w:jc w:val="both"/>
              <w:rPr>
                <w:rFonts w:ascii="Tahoma" w:hAnsi="Tahoma" w:cs="Tahoma"/>
                <w:lang w:val="ro-RO"/>
              </w:rPr>
            </w:pPr>
            <w:r w:rsidRPr="00B81602">
              <w:rPr>
                <w:rFonts w:ascii="Tahoma" w:hAnsi="Tahoma" w:cs="Tahoma"/>
                <w:lang w:val="ro-RO"/>
              </w:rPr>
              <w:t xml:space="preserve">III.1.6.a) Garanție de participare: DA       </w:t>
            </w:r>
          </w:p>
          <w:p w14:paraId="18D960D4" w14:textId="77D9E7F0" w:rsidR="007F190F" w:rsidRPr="00B81602" w:rsidRDefault="007F190F" w:rsidP="007F190F">
            <w:pPr>
              <w:jc w:val="both"/>
              <w:rPr>
                <w:rFonts w:ascii="Tahoma" w:hAnsi="Tahoma" w:cs="Tahoma"/>
                <w:lang w:val="ro-RO"/>
              </w:rPr>
            </w:pPr>
            <w:r w:rsidRPr="00B81602">
              <w:rPr>
                <w:rFonts w:ascii="Tahoma" w:hAnsi="Tahoma" w:cs="Tahoma"/>
                <w:b/>
                <w:lang w:val="ro-RO"/>
              </w:rPr>
              <w:t xml:space="preserve">i. Cuantum: </w:t>
            </w:r>
            <w:bookmarkStart w:id="0" w:name="_Hlk168993184"/>
            <w:r w:rsidRPr="00B81602">
              <w:rPr>
                <w:rFonts w:ascii="Tahoma" w:hAnsi="Tahoma" w:cs="Tahoma"/>
                <w:b/>
                <w:lang w:val="ro-RO"/>
              </w:rPr>
              <w:t xml:space="preserve">Lot </w:t>
            </w:r>
            <w:r>
              <w:rPr>
                <w:rFonts w:ascii="Tahoma" w:hAnsi="Tahoma" w:cs="Tahoma"/>
                <w:b/>
                <w:lang w:val="ro-RO"/>
              </w:rPr>
              <w:t>1</w:t>
            </w:r>
            <w:r w:rsidRPr="00B81602">
              <w:rPr>
                <w:rFonts w:ascii="Tahoma" w:hAnsi="Tahoma" w:cs="Tahoma"/>
                <w:b/>
                <w:lang w:val="ro-RO"/>
              </w:rPr>
              <w:t>:</w:t>
            </w:r>
            <w:r w:rsidRPr="004D2505">
              <w:rPr>
                <w:rFonts w:ascii="Tahoma" w:hAnsi="Tahoma" w:cs="Tahoma"/>
                <w:bCs/>
                <w:lang w:val="ro-RO"/>
              </w:rPr>
              <w:t xml:space="preserve"> </w:t>
            </w:r>
            <w:r>
              <w:rPr>
                <w:rFonts w:ascii="Tahoma" w:hAnsi="Tahoma" w:cs="Tahoma"/>
                <w:bCs/>
                <w:lang w:val="ro-RO"/>
              </w:rPr>
              <w:t>1.500</w:t>
            </w:r>
            <w:r w:rsidRPr="00B81602">
              <w:rPr>
                <w:rFonts w:ascii="Tahoma" w:hAnsi="Tahoma" w:cs="Tahoma"/>
                <w:b/>
                <w:lang w:val="ro-RO"/>
              </w:rPr>
              <w:t xml:space="preserve"> </w:t>
            </w:r>
            <w:r w:rsidRPr="00B81602">
              <w:rPr>
                <w:rFonts w:ascii="Tahoma" w:hAnsi="Tahoma" w:cs="Tahoma"/>
                <w:lang w:val="ro-RO"/>
              </w:rPr>
              <w:t xml:space="preserve">Lei; </w:t>
            </w:r>
            <w:r w:rsidRPr="00B81602">
              <w:rPr>
                <w:rFonts w:ascii="Tahoma" w:hAnsi="Tahoma" w:cs="Tahoma"/>
                <w:b/>
                <w:lang w:val="ro-RO"/>
              </w:rPr>
              <w:t xml:space="preserve">Lot </w:t>
            </w:r>
            <w:r>
              <w:rPr>
                <w:rFonts w:ascii="Tahoma" w:hAnsi="Tahoma" w:cs="Tahoma"/>
                <w:b/>
                <w:lang w:val="ro-RO"/>
              </w:rPr>
              <w:t>2</w:t>
            </w:r>
            <w:r w:rsidRPr="00B81602">
              <w:rPr>
                <w:rFonts w:ascii="Tahoma" w:hAnsi="Tahoma" w:cs="Tahoma"/>
                <w:b/>
                <w:lang w:val="ro-RO"/>
              </w:rPr>
              <w:t xml:space="preserve">: </w:t>
            </w:r>
            <w:r>
              <w:rPr>
                <w:rFonts w:ascii="Tahoma" w:hAnsi="Tahoma" w:cs="Tahoma"/>
                <w:bCs/>
                <w:lang w:val="ro-RO"/>
              </w:rPr>
              <w:t>1.750</w:t>
            </w:r>
            <w:r w:rsidRPr="00B81602">
              <w:rPr>
                <w:rFonts w:ascii="Tahoma" w:hAnsi="Tahoma" w:cs="Tahoma"/>
                <w:b/>
                <w:lang w:val="ro-RO"/>
              </w:rPr>
              <w:t xml:space="preserve"> </w:t>
            </w:r>
            <w:r w:rsidRPr="005726E6">
              <w:rPr>
                <w:rFonts w:ascii="Tahoma" w:hAnsi="Tahoma" w:cs="Tahoma"/>
                <w:bCs/>
                <w:lang w:val="ro-RO"/>
              </w:rPr>
              <w:t xml:space="preserve"> </w:t>
            </w:r>
            <w:r w:rsidRPr="00B81602">
              <w:rPr>
                <w:rFonts w:ascii="Tahoma" w:hAnsi="Tahoma" w:cs="Tahoma"/>
                <w:lang w:val="ro-RO"/>
              </w:rPr>
              <w:t>Lei</w:t>
            </w:r>
            <w:bookmarkEnd w:id="0"/>
            <w:r>
              <w:rPr>
                <w:rFonts w:ascii="Tahoma" w:hAnsi="Tahoma" w:cs="Tahoma"/>
                <w:lang w:val="ro-RO"/>
              </w:rPr>
              <w:t xml:space="preserve">. </w:t>
            </w:r>
            <w:r w:rsidRPr="00B81602">
              <w:rPr>
                <w:rFonts w:ascii="Tahoma" w:hAnsi="Tahoma" w:cs="Tahoma"/>
                <w:b/>
                <w:lang w:val="ro-RO"/>
              </w:rPr>
              <w:t xml:space="preserve">Notă: </w:t>
            </w:r>
            <w:r w:rsidRPr="00B81602">
              <w:rPr>
                <w:rFonts w:ascii="Tahoma" w:hAnsi="Tahoma" w:cs="Tahoma"/>
                <w:bCs/>
                <w:lang w:val="ro-RO"/>
              </w:rPr>
              <w:t>Î</w:t>
            </w:r>
            <w:r w:rsidRPr="00B81602">
              <w:rPr>
                <w:rFonts w:ascii="Tahoma" w:hAnsi="Tahoma" w:cs="Tahoma"/>
                <w:lang w:val="ro-RO"/>
              </w:rPr>
              <w:t>n situația în care</w:t>
            </w:r>
            <w:r w:rsidRPr="00B81602">
              <w:rPr>
                <w:rFonts w:ascii="Tahoma" w:hAnsi="Tahoma" w:cs="Tahoma"/>
                <w:b/>
                <w:lang w:val="ro-RO"/>
              </w:rPr>
              <w:t xml:space="preserve"> </w:t>
            </w:r>
            <w:r w:rsidRPr="00B81602">
              <w:rPr>
                <w:rFonts w:ascii="Tahoma" w:hAnsi="Tahoma" w:cs="Tahoma"/>
                <w:lang w:val="ro-RO"/>
              </w:rPr>
              <w:t xml:space="preserve">se depun oferte pentru mai multe loturi, se va constitui </w:t>
            </w:r>
            <w:r w:rsidRPr="00B81602">
              <w:rPr>
                <w:rFonts w:ascii="Tahoma" w:hAnsi="Tahoma" w:cs="Tahoma"/>
                <w:b/>
                <w:lang w:val="ro-RO"/>
              </w:rPr>
              <w:t>garanția de participare</w:t>
            </w:r>
            <w:r w:rsidRPr="00B81602">
              <w:rPr>
                <w:rFonts w:ascii="Tahoma" w:hAnsi="Tahoma" w:cs="Tahoma"/>
                <w:lang w:val="ro-RO"/>
              </w:rPr>
              <w:t xml:space="preserve"> al cărei </w:t>
            </w:r>
            <w:r w:rsidRPr="00B81602">
              <w:rPr>
                <w:rFonts w:ascii="Tahoma" w:hAnsi="Tahoma" w:cs="Tahoma"/>
                <w:b/>
                <w:lang w:val="ro-RO"/>
              </w:rPr>
              <w:t xml:space="preserve">cuantum </w:t>
            </w:r>
            <w:r w:rsidRPr="00B81602">
              <w:rPr>
                <w:rFonts w:ascii="Tahoma" w:hAnsi="Tahoma" w:cs="Tahoma"/>
                <w:lang w:val="ro-RO"/>
              </w:rPr>
              <w:t>va fi determinat însumând valorile garanțiilor pentru loturile pentru care se depune oferta.</w:t>
            </w:r>
          </w:p>
          <w:p w14:paraId="666476C3" w14:textId="77777777" w:rsidR="007F190F" w:rsidRPr="00B81602" w:rsidRDefault="007F190F" w:rsidP="007F190F">
            <w:pPr>
              <w:jc w:val="both"/>
              <w:rPr>
                <w:rFonts w:ascii="Tahoma" w:hAnsi="Tahoma" w:cs="Tahoma"/>
                <w:lang w:val="ro-RO" w:eastAsia="ro-RO"/>
              </w:rPr>
            </w:pPr>
            <w:r w:rsidRPr="00B81602">
              <w:rPr>
                <w:rFonts w:ascii="Tahoma" w:hAnsi="Tahoma" w:cs="Tahoma"/>
                <w:b/>
                <w:bCs/>
                <w:lang w:val="ro-RO" w:eastAsia="ro-RO"/>
              </w:rPr>
              <w:t>ii. Mod constituire</w:t>
            </w:r>
            <w:r w:rsidRPr="00B81602">
              <w:rPr>
                <w:rFonts w:ascii="Tahoma" w:hAnsi="Tahoma" w:cs="Tahoma"/>
                <w:lang w:val="ro-RO" w:eastAsia="ro-RO"/>
              </w:rPr>
              <w:t xml:space="preserve"> - garanţia de participare se </w:t>
            </w:r>
            <w:r w:rsidRPr="007041BD">
              <w:rPr>
                <w:rFonts w:ascii="Tahoma" w:hAnsi="Tahoma" w:cs="Tahoma"/>
                <w:lang w:val="ro-RO" w:eastAsia="ro-RO"/>
              </w:rPr>
              <w:t>constituie în condițiile prevăzute la art. 154 alin.(4) din Legea nr. 98/2016 prin:</w:t>
            </w:r>
          </w:p>
          <w:p w14:paraId="372CF733"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         a) virament bancar;</w:t>
            </w:r>
          </w:p>
          <w:p w14:paraId="531429A1"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         b) instrumente de garantare emise în condiţiile legii, astfel:</w:t>
            </w:r>
          </w:p>
          <w:p w14:paraId="106CC0FB" w14:textId="373407E5" w:rsidR="007F190F" w:rsidRDefault="007F190F" w:rsidP="007F190F">
            <w:pPr>
              <w:jc w:val="both"/>
              <w:rPr>
                <w:rFonts w:ascii="Tahoma" w:hAnsi="Tahoma" w:cs="Tahoma"/>
                <w:lang w:val="ro-RO" w:eastAsia="ro-RO"/>
              </w:rPr>
            </w:pPr>
            <w:r w:rsidRPr="00B81602">
              <w:rPr>
                <w:rFonts w:ascii="Tahoma" w:hAnsi="Tahoma" w:cs="Tahoma"/>
                <w:lang w:val="ro-RO" w:eastAsia="ro-RO"/>
              </w:rPr>
              <w:t xml:space="preserve">               (i) scrisori de garanţie emise de instituţii de credit bancare din România sau din alt stat;</w:t>
            </w:r>
          </w:p>
          <w:p w14:paraId="2C6F20A4" w14:textId="216397D7" w:rsidR="007F190F" w:rsidRPr="00CF0380" w:rsidRDefault="007F190F" w:rsidP="007F190F">
            <w:pPr>
              <w:contextualSpacing/>
              <w:jc w:val="both"/>
              <w:rPr>
                <w:rFonts w:ascii="Tahoma" w:eastAsia="Calibri" w:hAnsi="Tahoma" w:cs="Tahoma"/>
                <w:lang w:val="ro-RO"/>
              </w:rPr>
            </w:pPr>
            <w:r>
              <w:rPr>
                <w:rFonts w:ascii="Tahoma" w:eastAsia="Calibri" w:hAnsi="Tahoma" w:cs="Tahoma"/>
                <w:lang w:val="ro-RO" w:eastAsia="ro-RO"/>
              </w:rPr>
              <w:t xml:space="preserve">               (ii) </w:t>
            </w:r>
            <w:r w:rsidRPr="00CF0380">
              <w:rPr>
                <w:rFonts w:ascii="Tahoma" w:eastAsia="Calibri" w:hAnsi="Tahoma" w:cs="Tahoma"/>
                <w:lang w:val="ro-RO" w:eastAsia="ro-RO"/>
              </w:rPr>
              <w:t>scrisori de garanţie emise de instituţii financiare nebancare din România sau din alt stat;</w:t>
            </w:r>
            <w:r w:rsidRPr="00CF0380">
              <w:rPr>
                <w:rFonts w:ascii="Tahoma" w:eastAsia="Calibri" w:hAnsi="Tahoma" w:cs="Tahoma"/>
                <w:lang w:val="ro-RO"/>
              </w:rPr>
              <w:t xml:space="preserve">          </w:t>
            </w:r>
          </w:p>
          <w:p w14:paraId="3E43FFDB"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               (ii</w:t>
            </w:r>
            <w:r>
              <w:rPr>
                <w:rFonts w:ascii="Tahoma" w:hAnsi="Tahoma" w:cs="Tahoma"/>
                <w:lang w:val="ro-RO" w:eastAsia="ro-RO"/>
              </w:rPr>
              <w:t>i</w:t>
            </w:r>
            <w:r w:rsidRPr="00B81602">
              <w:rPr>
                <w:rFonts w:ascii="Tahoma" w:hAnsi="Tahoma" w:cs="Tahoma"/>
                <w:lang w:val="ro-RO" w:eastAsia="ro-RO"/>
              </w:rPr>
              <w:t>) asigurări de garanţii emise:</w:t>
            </w:r>
          </w:p>
          <w:p w14:paraId="51BB4AF3"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93736AE"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                      - fie de societăţi de asigurare din state terţe prin sucursale autorizate în România de către Autoritatea de Supraveghere Financiară.</w:t>
            </w:r>
          </w:p>
          <w:p w14:paraId="763961FC" w14:textId="77777777" w:rsidR="007F190F" w:rsidRDefault="007F190F" w:rsidP="007F190F">
            <w:pPr>
              <w:ind w:firstLine="613"/>
              <w:jc w:val="both"/>
              <w:rPr>
                <w:rFonts w:ascii="Tahoma" w:hAnsi="Tahoma" w:cs="Tahoma"/>
                <w:lang w:eastAsia="ro-RO"/>
              </w:rPr>
            </w:pPr>
            <w:r w:rsidRPr="00B81602">
              <w:rPr>
                <w:rFonts w:ascii="Tahoma" w:hAnsi="Tahoma" w:cs="Tahoma"/>
                <w:lang w:val="ro-RO" w:eastAsia="ro-RO"/>
              </w:rPr>
              <w:t>c) depunerea la casieria ANCOM din str. Delea Noua nr. 2, sector 3, București a sume</w:t>
            </w:r>
            <w:r>
              <w:rPr>
                <w:rFonts w:ascii="Tahoma" w:hAnsi="Tahoma" w:cs="Tahoma"/>
                <w:lang w:val="ro-RO" w:eastAsia="ro-RO"/>
              </w:rPr>
              <w:t>i</w:t>
            </w:r>
            <w:r w:rsidRPr="00B81602">
              <w:rPr>
                <w:rFonts w:ascii="Tahoma" w:hAnsi="Tahoma" w:cs="Tahoma"/>
                <w:lang w:val="ro-RO" w:eastAsia="ro-RO"/>
              </w:rPr>
              <w:t xml:space="preserve"> în numerar</w:t>
            </w:r>
            <w:r w:rsidRPr="00E92883">
              <w:rPr>
                <w:rFonts w:ascii="Tahoma" w:hAnsi="Tahoma" w:cs="Tahoma"/>
                <w:lang w:eastAsia="ro-RO"/>
              </w:rPr>
              <w:t xml:space="preserve"> </w:t>
            </w:r>
            <w:proofErr w:type="spellStart"/>
            <w:r w:rsidRPr="00E92883">
              <w:rPr>
                <w:rFonts w:ascii="Tahoma" w:hAnsi="Tahoma" w:cs="Tahoma"/>
                <w:lang w:eastAsia="ro-RO"/>
              </w:rPr>
              <w:t>dacă</w:t>
            </w:r>
            <w:proofErr w:type="spellEnd"/>
            <w:r w:rsidRPr="00E92883">
              <w:rPr>
                <w:rFonts w:ascii="Tahoma" w:hAnsi="Tahoma" w:cs="Tahoma"/>
                <w:lang w:eastAsia="ro-RO"/>
              </w:rPr>
              <w:t xml:space="preserve"> </w:t>
            </w:r>
            <w:proofErr w:type="spellStart"/>
            <w:r w:rsidRPr="00E92883">
              <w:rPr>
                <w:rFonts w:ascii="Tahoma" w:hAnsi="Tahoma" w:cs="Tahoma"/>
                <w:lang w:eastAsia="ro-RO"/>
              </w:rPr>
              <w:t>valoarea</w:t>
            </w:r>
            <w:proofErr w:type="spellEnd"/>
            <w:r w:rsidRPr="00E92883">
              <w:rPr>
                <w:rFonts w:ascii="Tahoma" w:hAnsi="Tahoma" w:cs="Tahoma"/>
                <w:lang w:eastAsia="ro-RO"/>
              </w:rPr>
              <w:t xml:space="preserve"> </w:t>
            </w:r>
            <w:proofErr w:type="spellStart"/>
            <w:r w:rsidRPr="00E92883">
              <w:rPr>
                <w:rFonts w:ascii="Tahoma" w:hAnsi="Tahoma" w:cs="Tahoma"/>
                <w:lang w:eastAsia="ro-RO"/>
              </w:rPr>
              <w:t>este</w:t>
            </w:r>
            <w:proofErr w:type="spellEnd"/>
            <w:r w:rsidRPr="00E92883">
              <w:rPr>
                <w:rFonts w:ascii="Tahoma" w:hAnsi="Tahoma" w:cs="Tahoma"/>
                <w:lang w:eastAsia="ro-RO"/>
              </w:rPr>
              <w:t xml:space="preserve"> </w:t>
            </w:r>
            <w:proofErr w:type="spellStart"/>
            <w:r w:rsidRPr="00E92883">
              <w:rPr>
                <w:rFonts w:ascii="Tahoma" w:hAnsi="Tahoma" w:cs="Tahoma"/>
                <w:lang w:eastAsia="ro-RO"/>
              </w:rPr>
              <w:t>mai</w:t>
            </w:r>
            <w:proofErr w:type="spellEnd"/>
            <w:r w:rsidRPr="00E92883">
              <w:rPr>
                <w:rFonts w:ascii="Tahoma" w:hAnsi="Tahoma" w:cs="Tahoma"/>
                <w:lang w:eastAsia="ro-RO"/>
              </w:rPr>
              <w:t xml:space="preserve"> </w:t>
            </w:r>
            <w:proofErr w:type="spellStart"/>
            <w:r w:rsidRPr="00E92883">
              <w:rPr>
                <w:rFonts w:ascii="Tahoma" w:hAnsi="Tahoma" w:cs="Tahoma"/>
                <w:lang w:eastAsia="ro-RO"/>
              </w:rPr>
              <w:t>mică</w:t>
            </w:r>
            <w:proofErr w:type="spellEnd"/>
            <w:r w:rsidRPr="00E92883">
              <w:rPr>
                <w:rFonts w:ascii="Tahoma" w:hAnsi="Tahoma" w:cs="Tahoma"/>
                <w:lang w:eastAsia="ro-RO"/>
              </w:rPr>
              <w:t xml:space="preserve"> de 5.000 lei.</w:t>
            </w:r>
          </w:p>
          <w:p w14:paraId="15A3A726" w14:textId="750F92B3" w:rsidR="007F190F" w:rsidRPr="007F190F" w:rsidRDefault="007F190F" w:rsidP="007F190F">
            <w:pPr>
              <w:ind w:firstLine="613"/>
              <w:jc w:val="both"/>
              <w:rPr>
                <w:rFonts w:ascii="Tahoma" w:hAnsi="Tahoma" w:cs="Tahoma"/>
                <w:lang w:eastAsia="ro-RO"/>
              </w:rPr>
            </w:pPr>
            <w:r w:rsidRPr="006C0918">
              <w:rPr>
                <w:rFonts w:ascii="Tahoma" w:hAnsi="Tahoma" w:cs="Tahoma"/>
                <w:lang w:eastAsia="ro-RO"/>
              </w:rPr>
              <w:t xml:space="preserve">d) </w:t>
            </w:r>
            <w:proofErr w:type="spellStart"/>
            <w:r w:rsidRPr="006C0918">
              <w:rPr>
                <w:rFonts w:ascii="Tahoma" w:hAnsi="Tahoma" w:cs="Tahoma"/>
              </w:rPr>
              <w:t>prin</w:t>
            </w:r>
            <w:proofErr w:type="spellEnd"/>
            <w:r w:rsidRPr="006C0918">
              <w:rPr>
                <w:rFonts w:ascii="Tahoma" w:hAnsi="Tahoma" w:cs="Tahoma"/>
              </w:rPr>
              <w:t xml:space="preserve"> </w:t>
            </w:r>
            <w:proofErr w:type="spellStart"/>
            <w:r w:rsidRPr="006C0918">
              <w:rPr>
                <w:rFonts w:ascii="Tahoma" w:hAnsi="Tahoma" w:cs="Tahoma"/>
              </w:rPr>
              <w:t>combinarea</w:t>
            </w:r>
            <w:proofErr w:type="spellEnd"/>
            <w:r w:rsidRPr="006C0918">
              <w:rPr>
                <w:rFonts w:ascii="Tahoma" w:hAnsi="Tahoma" w:cs="Tahoma"/>
              </w:rPr>
              <w:t xml:space="preserve"> </w:t>
            </w:r>
            <w:proofErr w:type="spellStart"/>
            <w:r w:rsidRPr="006C0918">
              <w:rPr>
                <w:rFonts w:ascii="Tahoma" w:hAnsi="Tahoma" w:cs="Tahoma"/>
              </w:rPr>
              <w:t>modalităților</w:t>
            </w:r>
            <w:proofErr w:type="spellEnd"/>
            <w:r w:rsidRPr="006C0918">
              <w:rPr>
                <w:rFonts w:ascii="Tahoma" w:hAnsi="Tahoma" w:cs="Tahoma"/>
              </w:rPr>
              <w:t xml:space="preserve"> de </w:t>
            </w:r>
            <w:proofErr w:type="spellStart"/>
            <w:r w:rsidRPr="006C0918">
              <w:rPr>
                <w:rFonts w:ascii="Tahoma" w:hAnsi="Tahoma" w:cs="Tahoma"/>
              </w:rPr>
              <w:t>constituire</w:t>
            </w:r>
            <w:proofErr w:type="spellEnd"/>
            <w:r w:rsidRPr="006C0918">
              <w:rPr>
                <w:rFonts w:ascii="Tahoma" w:hAnsi="Tahoma" w:cs="Tahoma"/>
              </w:rPr>
              <w:t xml:space="preserve"> </w:t>
            </w:r>
            <w:proofErr w:type="spellStart"/>
            <w:r w:rsidRPr="006C0918">
              <w:rPr>
                <w:rFonts w:ascii="Tahoma" w:hAnsi="Tahoma" w:cs="Tahoma"/>
              </w:rPr>
              <w:t>prevăzute</w:t>
            </w:r>
            <w:proofErr w:type="spellEnd"/>
            <w:r w:rsidRPr="006C0918">
              <w:rPr>
                <w:rFonts w:ascii="Tahoma" w:hAnsi="Tahoma" w:cs="Tahoma"/>
              </w:rPr>
              <w:t xml:space="preserve"> la lit. a), b) </w:t>
            </w:r>
            <w:proofErr w:type="spellStart"/>
            <w:r w:rsidRPr="006C0918">
              <w:rPr>
                <w:rFonts w:ascii="Tahoma" w:hAnsi="Tahoma" w:cs="Tahoma"/>
              </w:rPr>
              <w:t>și</w:t>
            </w:r>
            <w:proofErr w:type="spellEnd"/>
            <w:r w:rsidRPr="006C0918">
              <w:rPr>
                <w:rFonts w:ascii="Tahoma" w:hAnsi="Tahoma" w:cs="Tahoma"/>
              </w:rPr>
              <w:t xml:space="preserve"> c).</w:t>
            </w:r>
          </w:p>
          <w:p w14:paraId="42502B7B"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Garanția de participare trebuie să fie irevocabilă, necondiționată și să fie constituită în suma și pentru perioada de valabilitate solicitate.</w:t>
            </w:r>
          </w:p>
          <w:p w14:paraId="18A0DCE3"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Instrumentul de garantare sau ordinul de virament se transmite în SEAP împreună cu oferta și celelalte documente ale acesteia, cel mai târziu la data și ora-limită de depunere a ofertelor prevăzute în anunțul de participare. Instrumentul de garantare trebuie să prevadă că plata garanției de participare se va executa necondiționat, respectiv la prima cerere a Autorității contractante, pe baza declarației acesteia cu privire la culpa persoanei garantate.</w:t>
            </w:r>
          </w:p>
          <w:p w14:paraId="6E46A3B7"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În cazul viramentului bancar, plata se va realiza în contul RO22TREZ7005005XXX000932 (plăți în Lei - pentru persoanele juridice/fizice române) deschis la Trezoreria Operativă a Mun. București sau, respectiv, în contul RO86RNCB0082044181470003 (plăți în Euro – pentru persoane juridice/fizice străine). Pentru o eventuală conversie leu/valută se va utiliza cursul de schimb BNR valabil la data publicării în SEAP a </w:t>
            </w:r>
            <w:r w:rsidRPr="00B81602">
              <w:rPr>
                <w:rFonts w:ascii="Tahoma" w:hAnsi="Tahoma" w:cs="Tahoma"/>
                <w:lang w:val="ro-RO" w:eastAsia="ro-RO"/>
              </w:rPr>
              <w:lastRenderedPageBreak/>
              <w:t>anunțului de participare. Documentul de plată va fi încărcat în SEAP, semnat cu semnătură electronică, până la data limită de depunere a ofertelor.</w:t>
            </w:r>
          </w:p>
          <w:p w14:paraId="2703869D"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În cazul instrumentului de garantare este recomandabil sau este de preferat ca acesta să fie emis de către o instituţie de credit bancară </w:t>
            </w:r>
            <w:r w:rsidRPr="00540DC0">
              <w:rPr>
                <w:rFonts w:ascii="Tahoma" w:hAnsi="Tahoma" w:cs="Tahoma"/>
                <w:lang w:val="ro-RO" w:eastAsia="ro-RO"/>
              </w:rPr>
              <w:t xml:space="preserve">sau de o instituţie financiară nebancară </w:t>
            </w:r>
            <w:r w:rsidRPr="00B81602">
              <w:rPr>
                <w:rFonts w:ascii="Tahoma" w:hAnsi="Tahoma" w:cs="Tahoma"/>
                <w:lang w:val="ro-RO" w:eastAsia="ro-RO"/>
              </w:rPr>
              <w:t>cu corespondent în România sau de o societate de asigurări. Instrumentul de garantare trebuie prezentat în conformitate cu formularul din Anexa nr. 1 din Secțiunea V: Formulare</w:t>
            </w:r>
            <w:r>
              <w:rPr>
                <w:rFonts w:ascii="Tahoma" w:hAnsi="Tahoma" w:cs="Tahoma"/>
                <w:lang w:val="ro-RO" w:eastAsia="ro-RO"/>
              </w:rPr>
              <w:t xml:space="preserve"> </w:t>
            </w:r>
            <w:r w:rsidRPr="00B81602">
              <w:rPr>
                <w:rFonts w:ascii="Tahoma" w:hAnsi="Tahoma" w:cs="Tahoma"/>
                <w:bCs/>
                <w:lang w:val="ro-RO" w:eastAsia="zh-CN"/>
              </w:rPr>
              <w:t>și modele de documente</w:t>
            </w:r>
            <w:r w:rsidRPr="00B81602">
              <w:rPr>
                <w:rFonts w:ascii="Tahoma" w:hAnsi="Tahoma" w:cs="Tahoma"/>
                <w:lang w:val="ro-RO" w:eastAsia="ro-RO"/>
              </w:rPr>
              <w:t>.</w:t>
            </w:r>
          </w:p>
          <w:p w14:paraId="4D4FF480"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0F63A693"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În cazul participării în comun la procedura de atribuire, garanția de participare trebuie constituită în numele asocierii și să menționeze că acoperă în mod solidar toți membrii grupului de operatori economici.</w:t>
            </w:r>
          </w:p>
          <w:p w14:paraId="7CFA013B"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1E0E3E9B"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Garanția de participare constituită de ofertantul a cărei ofertă a fost stabilită câștigătoare se restituie de către Autoritatea contractantă în cel mult 3(trei) zile lucrătoare de la data semnării acordului-cadru.</w:t>
            </w:r>
          </w:p>
          <w:p w14:paraId="238471B0"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Garanția de participare, constituită de ofertanții a căror ofertă nu a fost stabilită câștigătoare, se restituie de către Autoritatea contractantă după semnarea acordului-cadru cu ofertantul al cărui ofertă a fost desemnată câștigătoare, dar nu mai târziu de 3(trei) zile lucrătoare de la data semnării acordului-cadru cu ofertantul declarat câștigător.</w:t>
            </w:r>
          </w:p>
          <w:p w14:paraId="2B0A3B50"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3(trei) zile lucrătoare de la această dată. </w:t>
            </w:r>
          </w:p>
          <w:p w14:paraId="429245C0" w14:textId="77777777" w:rsidR="007F190F" w:rsidRPr="00B81602" w:rsidRDefault="007F190F" w:rsidP="007F190F">
            <w:pPr>
              <w:jc w:val="both"/>
              <w:rPr>
                <w:rFonts w:ascii="Tahoma" w:hAnsi="Tahoma" w:cs="Tahoma"/>
                <w:lang w:val="ro-RO" w:eastAsia="ro-RO"/>
              </w:rPr>
            </w:pPr>
            <w:r w:rsidRPr="00B81602">
              <w:rPr>
                <w:rFonts w:ascii="Tahoma" w:hAnsi="Tahoma" w:cs="Tahoma"/>
                <w:lang w:val="ro-RO" w:eastAsia="ro-RO"/>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(trei) zile lucrătoare de la primirea unei solicitări în acest sens.</w:t>
            </w:r>
          </w:p>
          <w:p w14:paraId="3CD99BAC" w14:textId="008AC0DA" w:rsidR="007F190F" w:rsidRPr="00E87ABD" w:rsidRDefault="007F190F" w:rsidP="007F190F">
            <w:pPr>
              <w:spacing w:after="0" w:line="240" w:lineRule="auto"/>
              <w:jc w:val="both"/>
              <w:rPr>
                <w:rFonts w:ascii="Tahoma" w:eastAsia="Times New Roman" w:hAnsi="Tahoma" w:cs="Tahoma"/>
                <w:lang w:val="ro-RO" w:eastAsia="ro-RO"/>
              </w:rPr>
            </w:pPr>
            <w:r w:rsidRPr="00B81602">
              <w:rPr>
                <w:rFonts w:ascii="Tahoma" w:hAnsi="Tahoma" w:cs="Tahoma"/>
                <w:b/>
                <w:bCs/>
                <w:lang w:val="ro-RO" w:eastAsia="ro-RO"/>
              </w:rPr>
              <w:t>iii. Perioada de valabilitate</w:t>
            </w:r>
            <w:r w:rsidRPr="00B81602">
              <w:rPr>
                <w:rFonts w:ascii="Tahoma" w:hAnsi="Tahoma" w:cs="Tahoma"/>
                <w:lang w:val="ro-RO" w:eastAsia="ro-RO"/>
              </w:rPr>
              <w:t>: cel puțin 190 de zile de la data limită de depunere a ofertelor</w:t>
            </w:r>
            <w:r w:rsidRPr="00B81602">
              <w:rPr>
                <w:lang w:val="ro-RO"/>
              </w:rPr>
              <w:t xml:space="preserve"> </w:t>
            </w:r>
            <w:r w:rsidRPr="00B81602">
              <w:rPr>
                <w:rFonts w:ascii="Tahoma" w:hAnsi="Tahoma" w:cs="Tahoma"/>
                <w:lang w:val="ro-RO" w:eastAsia="ro-RO"/>
              </w:rPr>
              <w:t>prevăzută în anunțul de participare.</w:t>
            </w:r>
          </w:p>
        </w:tc>
      </w:tr>
      <w:tr w:rsidR="007F190F" w:rsidRPr="00E87ABD" w14:paraId="407489B6" w14:textId="77777777" w:rsidTr="00250776">
        <w:tc>
          <w:tcPr>
            <w:tcW w:w="10290" w:type="dxa"/>
          </w:tcPr>
          <w:p w14:paraId="138ADB3D" w14:textId="77777777" w:rsidR="007F190F" w:rsidRPr="005D68AA" w:rsidRDefault="007F190F" w:rsidP="007F190F">
            <w:pPr>
              <w:spacing w:after="0" w:line="240" w:lineRule="auto"/>
              <w:rPr>
                <w:rFonts w:ascii="Tahoma" w:eastAsia="Times New Roman" w:hAnsi="Tahoma" w:cs="Tahoma"/>
                <w:b/>
                <w:lang w:val="ro-RO"/>
              </w:rPr>
            </w:pPr>
            <w:r w:rsidRPr="005D68AA">
              <w:rPr>
                <w:rFonts w:ascii="Tahoma" w:eastAsia="Times New Roman" w:hAnsi="Tahoma" w:cs="Tahoma"/>
                <w:b/>
                <w:lang w:val="ro-RO"/>
              </w:rPr>
              <w:lastRenderedPageBreak/>
              <w:t>III.1.6.b) Garanție de bună execuție: DA</w:t>
            </w:r>
          </w:p>
          <w:p w14:paraId="11216934"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i. Cuantum: 10% din prețul contractului subsecvent în Lei, fără TVA.</w:t>
            </w:r>
          </w:p>
          <w:p w14:paraId="49CDA9A9"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ii. Mod constituire – garanția de bună execuție trebuie să fie irevocabilă, necondiționată și se constituie în condițiile prevăzute la art. 154 alin.(4) din Legea nr. 98/2016, prin:</w:t>
            </w:r>
          </w:p>
          <w:p w14:paraId="71F293F4"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a) virament bancar;</w:t>
            </w:r>
          </w:p>
          <w:p w14:paraId="0222F680" w14:textId="77777777" w:rsidR="007F190F" w:rsidRPr="00244569" w:rsidRDefault="007F190F" w:rsidP="007F190F">
            <w:pPr>
              <w:spacing w:after="0" w:line="240" w:lineRule="auto"/>
              <w:ind w:firstLine="523"/>
              <w:jc w:val="both"/>
              <w:rPr>
                <w:rFonts w:ascii="Tahoma" w:eastAsia="Times New Roman" w:hAnsi="Tahoma" w:cs="Tahoma"/>
                <w:lang w:val="ro-RO"/>
              </w:rPr>
            </w:pPr>
            <w:r w:rsidRPr="00244569">
              <w:rPr>
                <w:rFonts w:ascii="Tahoma" w:eastAsia="Times New Roman" w:hAnsi="Tahoma" w:cs="Tahoma"/>
                <w:lang w:val="ro-RO"/>
              </w:rPr>
              <w:t xml:space="preserve"> b) instrumente de garantare emise în condiţiile legii astfel:</w:t>
            </w:r>
          </w:p>
          <w:p w14:paraId="12572D8C"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(i) scrisori de garanţie emise de instituţii de credit bancare din România sau din alt stat;</w:t>
            </w:r>
          </w:p>
          <w:p w14:paraId="357B0B4F"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(ii) scrisori de garanţie emise de instituţii financiare nebancare din România sau din alt stat;</w:t>
            </w:r>
          </w:p>
          <w:p w14:paraId="4C6DB010"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(iii) asigurări de garanţii emise:</w:t>
            </w:r>
          </w:p>
          <w:p w14:paraId="270831E7"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06F2777"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lastRenderedPageBreak/>
              <w:t xml:space="preserve">                  - fie de societăţi de asigurare din state terţe prin sucursale autorizate în România de către Autoritatea de Supraveghere Financiară;</w:t>
            </w:r>
          </w:p>
          <w:p w14:paraId="4349AAB7"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c) depunerea la casieria ANCOM din str. Delea Noua nr. 2, sector 3, București a unor sume în numerar dacă valoarea este mai mică de 5.000 lei;</w:t>
            </w:r>
          </w:p>
          <w:p w14:paraId="7C2707F1" w14:textId="77777777" w:rsidR="007F190F" w:rsidRPr="00244569" w:rsidRDefault="007F190F" w:rsidP="007F190F">
            <w:pPr>
              <w:spacing w:after="0" w:line="240" w:lineRule="auto"/>
              <w:jc w:val="both"/>
              <w:rPr>
                <w:rFonts w:ascii="Tahoma" w:eastAsia="Times New Roman" w:hAnsi="Tahoma" w:cs="Tahoma"/>
                <w:lang w:val="ro-RO"/>
              </w:rPr>
            </w:pPr>
            <w:r w:rsidRPr="00244569">
              <w:rPr>
                <w:rFonts w:ascii="Tahoma" w:eastAsia="Times New Roman" w:hAnsi="Tahoma" w:cs="Tahoma"/>
                <w:lang w:val="ro-RO"/>
              </w:rPr>
              <w:t xml:space="preserve">       d) combinarea a două sau mai multe dintre modalităţile de constituire prevăzute la lit. a)-c).</w:t>
            </w:r>
          </w:p>
          <w:p w14:paraId="0068AF93" w14:textId="77777777" w:rsidR="007F190F" w:rsidRPr="00244569" w:rsidRDefault="007F190F" w:rsidP="007F190F">
            <w:pPr>
              <w:spacing w:after="0" w:line="240" w:lineRule="auto"/>
              <w:jc w:val="both"/>
              <w:rPr>
                <w:rFonts w:ascii="Tahoma" w:eastAsia="Calibri" w:hAnsi="Tahoma" w:cs="Tahoma"/>
                <w:lang w:val="ro-RO"/>
              </w:rPr>
            </w:pPr>
            <w:r w:rsidRPr="00244569">
              <w:rPr>
                <w:rFonts w:ascii="Tahoma" w:eastAsia="Calibri" w:hAnsi="Tahoma" w:cs="Tahoma"/>
                <w:lang w:val="ro-RO"/>
              </w:rPr>
              <w:t>Viramentul bancar se efectuează în contul autoritatii contractante nr. RO22TREZ7005005XXX000932 - deschis la ATCPMB.</w:t>
            </w:r>
          </w:p>
          <w:p w14:paraId="4B245A2A" w14:textId="77777777" w:rsidR="007F190F" w:rsidRPr="00244569" w:rsidRDefault="007F190F" w:rsidP="007F190F">
            <w:pPr>
              <w:spacing w:after="0" w:line="240" w:lineRule="auto"/>
              <w:jc w:val="both"/>
              <w:rPr>
                <w:rFonts w:ascii="Tahoma" w:eastAsia="Calibri" w:hAnsi="Tahoma" w:cs="Tahoma"/>
                <w:lang w:val="ro-RO"/>
              </w:rPr>
            </w:pPr>
            <w:r w:rsidRPr="00244569">
              <w:rPr>
                <w:rFonts w:ascii="Tahoma" w:eastAsia="Calibri" w:hAnsi="Tahoma" w:cs="Tahoma"/>
                <w:lang w:val="ro-RO"/>
              </w:rPr>
              <w:t>Instrumentul de garantare trebuie prezentat în conformitate cu modelul din Anexa nr. 2 din Secțiunea 4: Formulare.</w:t>
            </w:r>
          </w:p>
          <w:p w14:paraId="4CA3ED34" w14:textId="77777777" w:rsidR="007F190F" w:rsidRPr="00244569" w:rsidRDefault="007F190F" w:rsidP="007F190F">
            <w:pPr>
              <w:spacing w:after="0" w:line="240" w:lineRule="auto"/>
              <w:jc w:val="both"/>
              <w:rPr>
                <w:rFonts w:ascii="Tahoma" w:eastAsia="Calibri" w:hAnsi="Tahoma" w:cs="Tahoma"/>
                <w:b/>
                <w:bCs/>
                <w:lang w:val="ro-RO"/>
              </w:rPr>
            </w:pPr>
            <w:r w:rsidRPr="00244569">
              <w:rPr>
                <w:rFonts w:ascii="Tahoma" w:eastAsia="Calibri" w:hAnsi="Tahoma" w:cs="Tahoma"/>
                <w:b/>
                <w:bCs/>
                <w:lang w:val="ro-RO"/>
              </w:rPr>
              <w:t xml:space="preserve">În situația contractelor subsecvente cu valori mai mici de 10.000 lei fără TVA, autoritatea contractantă are dreptul de a nu solicita constituirea garanțiilor de bună execuție. </w:t>
            </w:r>
          </w:p>
          <w:p w14:paraId="47CFB3FD" w14:textId="77777777" w:rsidR="007F190F" w:rsidRPr="00244569" w:rsidRDefault="007F190F" w:rsidP="007F190F">
            <w:pPr>
              <w:spacing w:after="0" w:line="240" w:lineRule="auto"/>
              <w:jc w:val="both"/>
              <w:rPr>
                <w:rFonts w:ascii="Tahoma" w:eastAsia="Calibri" w:hAnsi="Tahoma" w:cs="Tahoma"/>
                <w:b/>
                <w:bCs/>
                <w:lang w:val="ro-RO"/>
              </w:rPr>
            </w:pPr>
            <w:r w:rsidRPr="00244569">
              <w:rPr>
                <w:rFonts w:ascii="Tahoma" w:eastAsia="Calibri" w:hAnsi="Tahoma" w:cs="Tahoma"/>
                <w:b/>
                <w:bCs/>
                <w:lang w:val="ro-RO"/>
              </w:rPr>
              <w:t>În situația în care se majorează valoarea totală a contractului subsecvent prin încheierea de acte adiționale, conform mecanismului stabilit prin Caietul de sarcini, prin actele adiționale se va stabili în sarcina prestatorului și obligația constituirii/majorării garanției de bună execuție în cazul în care valoarea totală cumulată a contractului subsecvent (inclusiv valoarea majorării prin actele adiționale) depășește 10.000 lei fără TVA.</w:t>
            </w:r>
          </w:p>
          <w:p w14:paraId="7B2B1FEC" w14:textId="0638D16C" w:rsidR="007F190F" w:rsidRPr="00E87ABD" w:rsidRDefault="007F190F" w:rsidP="007F190F">
            <w:pPr>
              <w:spacing w:after="0" w:line="240" w:lineRule="auto"/>
              <w:jc w:val="both"/>
              <w:rPr>
                <w:rFonts w:ascii="Tahoma" w:eastAsia="Times New Roman" w:hAnsi="Tahoma" w:cs="Tahoma"/>
                <w:lang w:val="pt-BR"/>
              </w:rPr>
            </w:pPr>
            <w:r w:rsidRPr="00244569">
              <w:rPr>
                <w:rFonts w:ascii="Tahoma" w:eastAsia="Times New Roman" w:hAnsi="Tahoma" w:cs="Tahoma"/>
                <w:lang w:val="ro-RO"/>
              </w:rPr>
              <w:t>iii. Garanția de bună execuție constituita in baza contractului de servicii se eliberează/restituie în termen de cel mult 14 (paisprezece) zile de la data îndeplinirii de către contractant a obligațiilor asumate prin contractul subsecvent, dacă autoritatea contractantă nu a ridicat până la acea dată pretenții asupra ei.</w:t>
            </w:r>
          </w:p>
        </w:tc>
      </w:tr>
    </w:tbl>
    <w:p w14:paraId="558E080F" w14:textId="1314E54B" w:rsidR="00E87ABD" w:rsidRDefault="00E87ABD" w:rsidP="00E87ABD">
      <w:pPr>
        <w:jc w:val="both"/>
        <w:rPr>
          <w:rFonts w:ascii="Tahoma" w:hAnsi="Tahoma" w:cs="Tahoma"/>
        </w:rPr>
      </w:pPr>
    </w:p>
    <w:p w14:paraId="23AD26AB" w14:textId="44B13F58" w:rsidR="00FB0D5C" w:rsidRDefault="00FB0D5C" w:rsidP="00E87ABD">
      <w:pPr>
        <w:jc w:val="both"/>
        <w:rPr>
          <w:rFonts w:ascii="Tahoma" w:hAnsi="Tahoma" w:cs="Tahoma"/>
        </w:rPr>
      </w:pPr>
    </w:p>
    <w:p w14:paraId="5ED7E8E9" w14:textId="1C0F1999" w:rsidR="00FB0D5C" w:rsidRDefault="00FB0D5C" w:rsidP="00E87ABD">
      <w:pPr>
        <w:jc w:val="both"/>
        <w:rPr>
          <w:rFonts w:ascii="Tahoma" w:hAnsi="Tahoma" w:cs="Tahoma"/>
        </w:rPr>
      </w:pPr>
    </w:p>
    <w:p w14:paraId="0A55CC17" w14:textId="1883491A" w:rsidR="00FB0D5C" w:rsidRDefault="00FB0D5C" w:rsidP="00E87ABD">
      <w:pPr>
        <w:jc w:val="both"/>
        <w:rPr>
          <w:rFonts w:ascii="Tahoma" w:hAnsi="Tahoma" w:cs="Tahoma"/>
        </w:rPr>
      </w:pPr>
    </w:p>
    <w:p w14:paraId="7F982D81" w14:textId="0C169D83" w:rsidR="00FB0D5C" w:rsidRDefault="00FB0D5C" w:rsidP="00E87ABD">
      <w:pPr>
        <w:jc w:val="both"/>
        <w:rPr>
          <w:rFonts w:ascii="Tahoma" w:hAnsi="Tahoma" w:cs="Tahoma"/>
        </w:rPr>
      </w:pPr>
    </w:p>
    <w:p w14:paraId="5AA55094" w14:textId="13111B21" w:rsidR="00FB0D5C" w:rsidRDefault="00FB0D5C" w:rsidP="00E87ABD">
      <w:pPr>
        <w:jc w:val="both"/>
        <w:rPr>
          <w:rFonts w:ascii="Tahoma" w:hAnsi="Tahoma" w:cs="Tahoma"/>
        </w:rPr>
      </w:pPr>
    </w:p>
    <w:p w14:paraId="124A80E8" w14:textId="4F3FF56F" w:rsidR="00FB0D5C" w:rsidRDefault="00FB0D5C" w:rsidP="00E87ABD">
      <w:pPr>
        <w:jc w:val="both"/>
        <w:rPr>
          <w:rFonts w:ascii="Tahoma" w:hAnsi="Tahoma" w:cs="Tahoma"/>
        </w:rPr>
      </w:pPr>
    </w:p>
    <w:p w14:paraId="63B78328" w14:textId="153DAC48" w:rsidR="00FB0D5C" w:rsidRDefault="00FB0D5C" w:rsidP="00E87ABD">
      <w:pPr>
        <w:jc w:val="both"/>
        <w:rPr>
          <w:rFonts w:ascii="Tahoma" w:hAnsi="Tahoma" w:cs="Tahoma"/>
        </w:rPr>
      </w:pPr>
    </w:p>
    <w:p w14:paraId="24ADC293" w14:textId="77777777" w:rsidR="00E57B68" w:rsidRDefault="00E57B68" w:rsidP="00E87ABD">
      <w:pPr>
        <w:jc w:val="both"/>
        <w:rPr>
          <w:rFonts w:ascii="Tahoma" w:hAnsi="Tahoma" w:cs="Tahoma"/>
        </w:rPr>
      </w:pPr>
    </w:p>
    <w:p w14:paraId="71010E0E" w14:textId="77777777" w:rsidR="00E57B68" w:rsidRDefault="00E57B68" w:rsidP="00E87ABD">
      <w:pPr>
        <w:jc w:val="both"/>
        <w:rPr>
          <w:rFonts w:ascii="Tahoma" w:hAnsi="Tahoma" w:cs="Tahoma"/>
        </w:rPr>
      </w:pPr>
    </w:p>
    <w:p w14:paraId="1DB97AFC" w14:textId="77777777" w:rsidR="00E57B68" w:rsidRDefault="00E57B68" w:rsidP="00E87ABD">
      <w:pPr>
        <w:jc w:val="both"/>
        <w:rPr>
          <w:rFonts w:ascii="Tahoma" w:hAnsi="Tahoma" w:cs="Tahoma"/>
        </w:rPr>
      </w:pPr>
    </w:p>
    <w:p w14:paraId="31AA1808" w14:textId="6568CB7D" w:rsidR="00E87ABD" w:rsidRDefault="00E87ABD" w:rsidP="00E87ABD">
      <w:pPr>
        <w:pBdr>
          <w:bottom w:val="single" w:sz="12" w:space="1" w:color="auto"/>
        </w:pBdr>
        <w:jc w:val="both"/>
        <w:rPr>
          <w:rFonts w:ascii="Tahoma" w:hAnsi="Tahoma" w:cs="Tahoma"/>
        </w:rPr>
      </w:pPr>
    </w:p>
    <w:p w14:paraId="710A8C72" w14:textId="67FCE35E" w:rsidR="00E87ABD" w:rsidRPr="00D0791A" w:rsidRDefault="00D0791A" w:rsidP="00D0791A">
      <w:pPr>
        <w:shd w:val="clear" w:color="auto" w:fill="FFFFFF"/>
        <w:spacing w:after="0" w:line="240" w:lineRule="auto"/>
        <w:outlineLvl w:val="2"/>
        <w:rPr>
          <w:rFonts w:ascii="Tahoma" w:eastAsia="Times New Roman" w:hAnsi="Tahoma" w:cs="Tahoma"/>
          <w:sz w:val="18"/>
          <w:szCs w:val="18"/>
        </w:rPr>
      </w:pPr>
      <w:r>
        <w:rPr>
          <w:rFonts w:ascii="Tahoma" w:eastAsia="Times New Roman" w:hAnsi="Tahoma" w:cs="Tahoma"/>
          <w:sz w:val="18"/>
          <w:szCs w:val="18"/>
        </w:rPr>
        <w:t>*</w:t>
      </w:r>
      <w:r w:rsidRPr="00D0791A">
        <w:rPr>
          <w:rFonts w:ascii="Tahoma" w:eastAsia="Times New Roman" w:hAnsi="Tahoma" w:cs="Tahoma"/>
          <w:sz w:val="18"/>
          <w:szCs w:val="18"/>
        </w:rPr>
        <w:t>Info SEAP:</w:t>
      </w:r>
    </w:p>
    <w:p w14:paraId="5E20A534" w14:textId="434C7A4E" w:rsidR="00E87ABD" w:rsidRPr="00E87ABD" w:rsidRDefault="00E87ABD" w:rsidP="00D0791A">
      <w:pPr>
        <w:shd w:val="clear" w:color="auto" w:fill="FFFFFF"/>
        <w:spacing w:after="0" w:line="240" w:lineRule="auto"/>
        <w:outlineLvl w:val="2"/>
        <w:rPr>
          <w:rFonts w:ascii="Open Sans" w:eastAsia="Times New Roman" w:hAnsi="Open Sans" w:cs="Open Sans"/>
          <w:color w:val="FF8F32"/>
          <w:sz w:val="18"/>
          <w:szCs w:val="18"/>
        </w:rPr>
      </w:pPr>
      <w:proofErr w:type="spellStart"/>
      <w:r w:rsidRPr="00E87ABD">
        <w:rPr>
          <w:rFonts w:ascii="Open Sans" w:eastAsia="Times New Roman" w:hAnsi="Open Sans" w:cs="Open Sans"/>
          <w:color w:val="FF8F32"/>
          <w:sz w:val="18"/>
          <w:szCs w:val="18"/>
        </w:rPr>
        <w:t>Respectati</w:t>
      </w:r>
      <w:proofErr w:type="spellEnd"/>
      <w:r w:rsidRPr="00E87ABD">
        <w:rPr>
          <w:rFonts w:ascii="Open Sans" w:eastAsia="Times New Roman" w:hAnsi="Open Sans" w:cs="Open Sans"/>
          <w:color w:val="FF8F32"/>
          <w:sz w:val="18"/>
          <w:szCs w:val="18"/>
        </w:rPr>
        <w:t xml:space="preserve"> </w:t>
      </w:r>
      <w:proofErr w:type="spellStart"/>
      <w:r w:rsidRPr="00E87ABD">
        <w:rPr>
          <w:rFonts w:ascii="Open Sans" w:eastAsia="Times New Roman" w:hAnsi="Open Sans" w:cs="Open Sans"/>
          <w:color w:val="FF8F32"/>
          <w:sz w:val="18"/>
          <w:szCs w:val="18"/>
        </w:rPr>
        <w:t>limita</w:t>
      </w:r>
      <w:proofErr w:type="spellEnd"/>
      <w:r w:rsidRPr="00E87ABD">
        <w:rPr>
          <w:rFonts w:ascii="Open Sans" w:eastAsia="Times New Roman" w:hAnsi="Open Sans" w:cs="Open Sans"/>
          <w:color w:val="FF8F32"/>
          <w:sz w:val="18"/>
          <w:szCs w:val="18"/>
        </w:rPr>
        <w:t xml:space="preserve"> de </w:t>
      </w:r>
      <w:proofErr w:type="spellStart"/>
      <w:r w:rsidRPr="00E87ABD">
        <w:rPr>
          <w:rFonts w:ascii="Open Sans" w:eastAsia="Times New Roman" w:hAnsi="Open Sans" w:cs="Open Sans"/>
          <w:color w:val="FF8F32"/>
          <w:sz w:val="18"/>
          <w:szCs w:val="18"/>
        </w:rPr>
        <w:t>caractere</w:t>
      </w:r>
      <w:proofErr w:type="spellEnd"/>
      <w:r w:rsidRPr="00E87ABD">
        <w:rPr>
          <w:rFonts w:ascii="Open Sans" w:eastAsia="Times New Roman" w:hAnsi="Open Sans" w:cs="Open Sans"/>
          <w:color w:val="FF8F32"/>
          <w:sz w:val="18"/>
          <w:szCs w:val="18"/>
        </w:rPr>
        <w:t xml:space="preserve"> </w:t>
      </w:r>
      <w:proofErr w:type="spellStart"/>
      <w:r w:rsidRPr="00E87ABD">
        <w:rPr>
          <w:rFonts w:ascii="Open Sans" w:eastAsia="Times New Roman" w:hAnsi="Open Sans" w:cs="Open Sans"/>
          <w:color w:val="FF8F32"/>
          <w:sz w:val="18"/>
          <w:szCs w:val="18"/>
        </w:rPr>
        <w:t>impusa</w:t>
      </w:r>
      <w:proofErr w:type="spellEnd"/>
      <w:r w:rsidRPr="00E87ABD">
        <w:rPr>
          <w:rFonts w:ascii="Open Sans" w:eastAsia="Times New Roman" w:hAnsi="Open Sans" w:cs="Open Sans"/>
          <w:color w:val="FF8F32"/>
          <w:sz w:val="18"/>
          <w:szCs w:val="18"/>
        </w:rPr>
        <w:t xml:space="preserve"> de Jurnalul </w:t>
      </w:r>
      <w:proofErr w:type="spellStart"/>
      <w:r w:rsidRPr="00E87ABD">
        <w:rPr>
          <w:rFonts w:ascii="Open Sans" w:eastAsia="Times New Roman" w:hAnsi="Open Sans" w:cs="Open Sans"/>
          <w:color w:val="FF8F32"/>
          <w:sz w:val="18"/>
          <w:szCs w:val="18"/>
        </w:rPr>
        <w:t>Oficial</w:t>
      </w:r>
      <w:proofErr w:type="spellEnd"/>
      <w:r w:rsidRPr="00E87ABD">
        <w:rPr>
          <w:rFonts w:ascii="Open Sans" w:eastAsia="Times New Roman" w:hAnsi="Open Sans" w:cs="Open Sans"/>
          <w:color w:val="FF8F32"/>
          <w:sz w:val="18"/>
          <w:szCs w:val="18"/>
        </w:rPr>
        <w:t xml:space="preserve"> al UE</w:t>
      </w:r>
    </w:p>
    <w:p w14:paraId="256E9163" w14:textId="77777777" w:rsidR="00E87ABD" w:rsidRPr="00E87ABD" w:rsidRDefault="00E87ABD" w:rsidP="00D0791A">
      <w:pPr>
        <w:shd w:val="clear" w:color="auto" w:fill="FFFFFF"/>
        <w:spacing w:after="0" w:line="240" w:lineRule="auto"/>
        <w:rPr>
          <w:rFonts w:ascii="Open Sans" w:eastAsia="Times New Roman" w:hAnsi="Open Sans" w:cs="Open Sans"/>
          <w:color w:val="444444"/>
          <w:sz w:val="18"/>
          <w:szCs w:val="18"/>
        </w:rPr>
      </w:pPr>
      <w:r w:rsidRPr="00E87ABD">
        <w:rPr>
          <w:rFonts w:ascii="FontAwesome" w:eastAsia="Times New Roman" w:hAnsi="FontAwesome" w:cs="Open Sans"/>
          <w:color w:val="5DB2FF"/>
          <w:sz w:val="18"/>
          <w:szCs w:val="18"/>
        </w:rPr>
        <w:t> </w:t>
      </w:r>
      <w:r w:rsidRPr="00E87ABD">
        <w:rPr>
          <w:rFonts w:ascii="Open Sans" w:eastAsia="Times New Roman" w:hAnsi="Open Sans" w:cs="Open Sans"/>
          <w:color w:val="5DB2FF"/>
          <w:sz w:val="18"/>
          <w:szCs w:val="18"/>
        </w:rPr>
        <w:t>AVERTIZARE!</w:t>
      </w:r>
      <w:r w:rsidRPr="00E87ABD">
        <w:rPr>
          <w:rFonts w:ascii="Open Sans" w:eastAsia="Times New Roman" w:hAnsi="Open Sans" w:cs="Open Sans"/>
          <w:color w:val="444444"/>
          <w:sz w:val="18"/>
          <w:szCs w:val="18"/>
        </w:rPr>
        <w:br/>
      </w:r>
      <w:proofErr w:type="spellStart"/>
      <w:r w:rsidRPr="00E87ABD">
        <w:rPr>
          <w:rFonts w:ascii="Open Sans" w:eastAsia="Times New Roman" w:hAnsi="Open Sans" w:cs="Open Sans"/>
          <w:color w:val="444444"/>
          <w:sz w:val="18"/>
          <w:szCs w:val="18"/>
        </w:rPr>
        <w:t>Limitele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caractere</w:t>
      </w:r>
      <w:proofErr w:type="spellEnd"/>
      <w:r w:rsidRPr="00E87ABD">
        <w:rPr>
          <w:rFonts w:ascii="Open Sans" w:eastAsia="Times New Roman" w:hAnsi="Open Sans" w:cs="Open Sans"/>
          <w:color w:val="444444"/>
          <w:sz w:val="18"/>
          <w:szCs w:val="18"/>
        </w:rPr>
        <w:t xml:space="preserve"> de la </w:t>
      </w:r>
      <w:proofErr w:type="spellStart"/>
      <w:r w:rsidRPr="00E87ABD">
        <w:rPr>
          <w:rFonts w:ascii="Open Sans" w:eastAsia="Times New Roman" w:hAnsi="Open Sans" w:cs="Open Sans"/>
          <w:color w:val="444444"/>
          <w:sz w:val="18"/>
          <w:szCs w:val="18"/>
        </w:rPr>
        <w:t>campurile</w:t>
      </w:r>
      <w:proofErr w:type="spellEnd"/>
      <w:r w:rsidRPr="00E87ABD">
        <w:rPr>
          <w:rFonts w:ascii="Open Sans" w:eastAsia="Times New Roman" w:hAnsi="Open Sans" w:cs="Open Sans"/>
          <w:color w:val="444444"/>
          <w:sz w:val="18"/>
          <w:szCs w:val="18"/>
        </w:rPr>
        <w:t xml:space="preserve"> text sunt </w:t>
      </w:r>
      <w:proofErr w:type="spellStart"/>
      <w:r w:rsidRPr="00E87ABD">
        <w:rPr>
          <w:rFonts w:ascii="Open Sans" w:eastAsia="Times New Roman" w:hAnsi="Open Sans" w:cs="Open Sans"/>
          <w:color w:val="444444"/>
          <w:sz w:val="18"/>
          <w:szCs w:val="18"/>
        </w:rPr>
        <w:t>impuse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restrictiile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publicare</w:t>
      </w:r>
      <w:proofErr w:type="spellEnd"/>
      <w:r w:rsidRPr="00E87ABD">
        <w:rPr>
          <w:rFonts w:ascii="Open Sans" w:eastAsia="Times New Roman" w:hAnsi="Open Sans" w:cs="Open Sans"/>
          <w:color w:val="444444"/>
          <w:sz w:val="18"/>
          <w:szCs w:val="18"/>
        </w:rPr>
        <w:t xml:space="preserve"> in </w:t>
      </w:r>
      <w:proofErr w:type="spellStart"/>
      <w:r w:rsidRPr="00E87ABD">
        <w:rPr>
          <w:rFonts w:ascii="Open Sans" w:eastAsia="Times New Roman" w:hAnsi="Open Sans" w:cs="Open Sans"/>
          <w:color w:val="444444"/>
          <w:sz w:val="18"/>
          <w:szCs w:val="18"/>
        </w:rPr>
        <w:t>jurnalul</w:t>
      </w:r>
      <w:proofErr w:type="spellEnd"/>
      <w:r w:rsidRPr="00E87ABD">
        <w:rPr>
          <w:rFonts w:ascii="Open Sans" w:eastAsia="Times New Roman" w:hAnsi="Open Sans" w:cs="Open Sans"/>
          <w:color w:val="444444"/>
          <w:sz w:val="18"/>
          <w:szCs w:val="18"/>
        </w:rPr>
        <w:t xml:space="preserve"> </w:t>
      </w:r>
      <w:proofErr w:type="spellStart"/>
      <w:r w:rsidRPr="00E87ABD">
        <w:rPr>
          <w:rFonts w:ascii="Open Sans" w:eastAsia="Times New Roman" w:hAnsi="Open Sans" w:cs="Open Sans"/>
          <w:color w:val="444444"/>
          <w:sz w:val="18"/>
          <w:szCs w:val="18"/>
        </w:rPr>
        <w:t>Oficial</w:t>
      </w:r>
      <w:proofErr w:type="spellEnd"/>
      <w:r w:rsidRPr="00E87ABD">
        <w:rPr>
          <w:rFonts w:ascii="Open Sans" w:eastAsia="Times New Roman" w:hAnsi="Open Sans" w:cs="Open Sans"/>
          <w:color w:val="444444"/>
          <w:sz w:val="18"/>
          <w:szCs w:val="18"/>
        </w:rPr>
        <w:t xml:space="preserve"> al UE </w:t>
      </w:r>
      <w:proofErr w:type="gramStart"/>
      <w:r w:rsidRPr="00E87ABD">
        <w:rPr>
          <w:rFonts w:ascii="Open Sans" w:eastAsia="Times New Roman" w:hAnsi="Open Sans" w:cs="Open Sans"/>
          <w:color w:val="444444"/>
          <w:sz w:val="18"/>
          <w:szCs w:val="18"/>
        </w:rPr>
        <w:t>a</w:t>
      </w:r>
      <w:proofErr w:type="gramEnd"/>
      <w:r w:rsidRPr="00E87ABD">
        <w:rPr>
          <w:rFonts w:ascii="Open Sans" w:eastAsia="Times New Roman" w:hAnsi="Open Sans" w:cs="Open Sans"/>
          <w:color w:val="444444"/>
          <w:sz w:val="18"/>
          <w:szCs w:val="18"/>
        </w:rPr>
        <w:t xml:space="preserve"> </w:t>
      </w:r>
      <w:proofErr w:type="spellStart"/>
      <w:r w:rsidRPr="00E87ABD">
        <w:rPr>
          <w:rFonts w:ascii="Open Sans" w:eastAsia="Times New Roman" w:hAnsi="Open Sans" w:cs="Open Sans"/>
          <w:color w:val="444444"/>
          <w:sz w:val="18"/>
          <w:szCs w:val="18"/>
        </w:rPr>
        <w:t>anunturilor</w:t>
      </w:r>
      <w:proofErr w:type="spellEnd"/>
      <w:r w:rsidRPr="00E87ABD">
        <w:rPr>
          <w:rFonts w:ascii="Open Sans" w:eastAsia="Times New Roman" w:hAnsi="Open Sans" w:cs="Open Sans"/>
          <w:color w:val="444444"/>
          <w:sz w:val="18"/>
          <w:szCs w:val="18"/>
        </w:rPr>
        <w:t xml:space="preserve"> standard.</w:t>
      </w:r>
    </w:p>
    <w:sectPr w:rsidR="00E87ABD" w:rsidRPr="00E87ABD" w:rsidSect="007F190F">
      <w:pgSz w:w="12240" w:h="15840"/>
      <w:pgMar w:top="993" w:right="4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FontAwesom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98A"/>
    <w:multiLevelType w:val="hybridMultilevel"/>
    <w:tmpl w:val="EF7ABCB6"/>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547218B"/>
    <w:multiLevelType w:val="hybridMultilevel"/>
    <w:tmpl w:val="F8D45EDC"/>
    <w:lvl w:ilvl="0" w:tplc="0409000B">
      <w:start w:val="1"/>
      <w:numFmt w:val="bullet"/>
      <w:lvlText w:val=""/>
      <w:lvlJc w:val="left"/>
      <w:pPr>
        <w:ind w:left="1197" w:hanging="360"/>
      </w:pPr>
      <w:rPr>
        <w:rFonts w:ascii="Wingdings" w:hAnsi="Wingdings"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2" w15:restartNumberingAfterBreak="0">
    <w:nsid w:val="50A624AF"/>
    <w:multiLevelType w:val="hybridMultilevel"/>
    <w:tmpl w:val="FA34267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5C4E6E6E"/>
    <w:multiLevelType w:val="hybridMultilevel"/>
    <w:tmpl w:val="EF88C8C4"/>
    <w:lvl w:ilvl="0" w:tplc="801645D6">
      <w:start w:val="1"/>
      <w:numFmt w:val="lowerRoman"/>
      <w:lvlText w:val="%1."/>
      <w:lvlJc w:val="left"/>
      <w:pPr>
        <w:tabs>
          <w:tab w:val="num" w:pos="720"/>
        </w:tabs>
        <w:ind w:left="720" w:hanging="720"/>
      </w:pPr>
      <w:rPr>
        <w:rFonts w:hint="default"/>
      </w:rPr>
    </w:lvl>
    <w:lvl w:ilvl="1" w:tplc="A4AE0F8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04550796">
    <w:abstractNumId w:val="0"/>
  </w:num>
  <w:num w:numId="2" w16cid:durableId="1905985286">
    <w:abstractNumId w:val="3"/>
  </w:num>
  <w:num w:numId="3" w16cid:durableId="555163234">
    <w:abstractNumId w:val="1"/>
  </w:num>
  <w:num w:numId="4" w16cid:durableId="1542669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99"/>
    <w:rsid w:val="00004413"/>
    <w:rsid w:val="00034D4D"/>
    <w:rsid w:val="001670EA"/>
    <w:rsid w:val="001700FE"/>
    <w:rsid w:val="001F3D56"/>
    <w:rsid w:val="002032A7"/>
    <w:rsid w:val="00244569"/>
    <w:rsid w:val="002957B3"/>
    <w:rsid w:val="002977B8"/>
    <w:rsid w:val="00380BDC"/>
    <w:rsid w:val="00395800"/>
    <w:rsid w:val="003D6A13"/>
    <w:rsid w:val="0046182F"/>
    <w:rsid w:val="004902EF"/>
    <w:rsid w:val="004C0173"/>
    <w:rsid w:val="004C55DC"/>
    <w:rsid w:val="005930DE"/>
    <w:rsid w:val="005D68AA"/>
    <w:rsid w:val="005F7BB9"/>
    <w:rsid w:val="0067724C"/>
    <w:rsid w:val="007B440A"/>
    <w:rsid w:val="007F190F"/>
    <w:rsid w:val="0096557A"/>
    <w:rsid w:val="009767C3"/>
    <w:rsid w:val="00AD7499"/>
    <w:rsid w:val="00B40AB2"/>
    <w:rsid w:val="00B90073"/>
    <w:rsid w:val="00B93C1F"/>
    <w:rsid w:val="00BC0B2D"/>
    <w:rsid w:val="00BD1FCB"/>
    <w:rsid w:val="00C54C36"/>
    <w:rsid w:val="00CC6CFA"/>
    <w:rsid w:val="00D0791A"/>
    <w:rsid w:val="00D52597"/>
    <w:rsid w:val="00D70CC5"/>
    <w:rsid w:val="00E55B39"/>
    <w:rsid w:val="00E57B68"/>
    <w:rsid w:val="00E87ABD"/>
    <w:rsid w:val="00FB0D5C"/>
    <w:rsid w:val="00FE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5C6"/>
  <w15:chartTrackingRefBased/>
  <w15:docId w15:val="{B732F0E1-43F4-42A1-A211-BFBEBC8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C0B2D"/>
    <w:rPr>
      <w:sz w:val="16"/>
      <w:szCs w:val="16"/>
    </w:rPr>
  </w:style>
  <w:style w:type="paragraph" w:styleId="CommentText">
    <w:name w:val="annotation text"/>
    <w:basedOn w:val="Normal"/>
    <w:link w:val="CommentTextChar"/>
    <w:uiPriority w:val="99"/>
    <w:rsid w:val="00BC0B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0B2D"/>
    <w:rPr>
      <w:rFonts w:ascii="Times New Roman" w:eastAsia="Times New Roman" w:hAnsi="Times New Roman" w:cs="Times New Roman"/>
      <w:sz w:val="20"/>
      <w:szCs w:val="20"/>
    </w:rPr>
  </w:style>
  <w:style w:type="paragraph" w:styleId="Revision">
    <w:name w:val="Revision"/>
    <w:hidden/>
    <w:uiPriority w:val="99"/>
    <w:semiHidden/>
    <w:rsid w:val="00C54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82732">
      <w:bodyDiv w:val="1"/>
      <w:marLeft w:val="0"/>
      <w:marRight w:val="0"/>
      <w:marTop w:val="0"/>
      <w:marBottom w:val="0"/>
      <w:divBdr>
        <w:top w:val="none" w:sz="0" w:space="0" w:color="auto"/>
        <w:left w:val="none" w:sz="0" w:space="0" w:color="auto"/>
        <w:bottom w:val="none" w:sz="0" w:space="0" w:color="auto"/>
        <w:right w:val="none" w:sz="0" w:space="0" w:color="auto"/>
      </w:divBdr>
      <w:divsChild>
        <w:div w:id="197162925">
          <w:marLeft w:val="0"/>
          <w:marRight w:val="0"/>
          <w:marTop w:val="150"/>
          <w:marBottom w:val="0"/>
          <w:divBdr>
            <w:top w:val="none" w:sz="0" w:space="0" w:color="auto"/>
            <w:left w:val="none" w:sz="0" w:space="0" w:color="auto"/>
            <w:bottom w:val="none" w:sz="0" w:space="0" w:color="auto"/>
            <w:right w:val="none" w:sz="0" w:space="0" w:color="auto"/>
          </w:divBdr>
          <w:divsChild>
            <w:div w:id="1869222600">
              <w:marLeft w:val="0"/>
              <w:marRight w:val="0"/>
              <w:marTop w:val="0"/>
              <w:marBottom w:val="0"/>
              <w:divBdr>
                <w:top w:val="none" w:sz="0" w:space="0" w:color="auto"/>
                <w:left w:val="none" w:sz="0" w:space="0" w:color="auto"/>
                <w:bottom w:val="none" w:sz="0" w:space="0" w:color="auto"/>
                <w:right w:val="none" w:sz="0" w:space="0" w:color="auto"/>
              </w:divBdr>
              <w:divsChild>
                <w:div w:id="258371294">
                  <w:marLeft w:val="0"/>
                  <w:marRight w:val="0"/>
                  <w:marTop w:val="0"/>
                  <w:marBottom w:val="0"/>
                  <w:divBdr>
                    <w:top w:val="none" w:sz="0" w:space="0" w:color="auto"/>
                    <w:left w:val="none" w:sz="0" w:space="0" w:color="auto"/>
                    <w:bottom w:val="none" w:sz="0" w:space="0" w:color="auto"/>
                    <w:right w:val="none" w:sz="0" w:space="0" w:color="auto"/>
                  </w:divBdr>
                  <w:divsChild>
                    <w:div w:id="203520012">
                      <w:marLeft w:val="-225"/>
                      <w:marRight w:val="-225"/>
                      <w:marTop w:val="0"/>
                      <w:marBottom w:val="0"/>
                      <w:divBdr>
                        <w:top w:val="none" w:sz="0" w:space="0" w:color="auto"/>
                        <w:left w:val="none" w:sz="0" w:space="0" w:color="auto"/>
                        <w:bottom w:val="none" w:sz="0" w:space="0" w:color="auto"/>
                        <w:right w:val="none" w:sz="0" w:space="0" w:color="auto"/>
                      </w:divBdr>
                      <w:divsChild>
                        <w:div w:id="1575553388">
                          <w:marLeft w:val="0"/>
                          <w:marRight w:val="0"/>
                          <w:marTop w:val="0"/>
                          <w:marBottom w:val="0"/>
                          <w:divBdr>
                            <w:top w:val="none" w:sz="0" w:space="0" w:color="auto"/>
                            <w:left w:val="none" w:sz="0" w:space="0" w:color="auto"/>
                            <w:bottom w:val="none" w:sz="0" w:space="0" w:color="auto"/>
                            <w:right w:val="none" w:sz="0" w:space="0" w:color="auto"/>
                          </w:divBdr>
                          <w:divsChild>
                            <w:div w:id="1173108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Luminita Tararache</cp:lastModifiedBy>
  <cp:revision>6</cp:revision>
  <dcterms:created xsi:type="dcterms:W3CDTF">2022-11-10T10:43:00Z</dcterms:created>
  <dcterms:modified xsi:type="dcterms:W3CDTF">2026-04-15T12:56:00Z</dcterms:modified>
</cp:coreProperties>
</file>