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AC1467">
        <w:rPr>
          <w:rFonts w:ascii="Times New Roman" w:eastAsia="Calibri" w:hAnsi="Times New Roman" w:cs="Times New Roman"/>
          <w:b/>
          <w:iCs/>
          <w:sz w:val="24"/>
          <w:szCs w:val="24"/>
        </w:rPr>
        <w:t>10</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AC1467" w:rsidRPr="00AC1467">
        <w:rPr>
          <w:rFonts w:ascii="Times New Roman" w:eastAsia="Calibri" w:hAnsi="Times New Roman" w:cs="Times New Roman"/>
          <w:b/>
          <w:i/>
          <w:sz w:val="24"/>
          <w:szCs w:val="24"/>
        </w:rPr>
        <w:t>Kit manipulare și transport materiale CBRN</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AC1467">
        <w:rPr>
          <w:rFonts w:ascii="Times New Roman" w:eastAsia="Calibri" w:hAnsi="Times New Roman" w:cs="Times New Roman"/>
          <w:b/>
          <w:iCs/>
          <w:sz w:val="24"/>
          <w:szCs w:val="24"/>
        </w:rPr>
        <w:t>10</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AC1467" w:rsidRPr="00AC1467">
        <w:rPr>
          <w:rFonts w:ascii="Times New Roman" w:eastAsia="Calibri" w:hAnsi="Times New Roman" w:cs="Times New Roman"/>
          <w:b/>
          <w:i/>
          <w:sz w:val="24"/>
          <w:szCs w:val="24"/>
        </w:rPr>
        <w:t>Kit manipulare și transport materiale CBRN</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AC1467" w:rsidP="008C0A1C">
            <w:pPr>
              <w:shd w:val="clear" w:color="auto" w:fill="C6D9F1" w:themeFill="text2" w:themeFillTint="33"/>
              <w:spacing w:after="0" w:line="240" w:lineRule="auto"/>
              <w:jc w:val="center"/>
              <w:rPr>
                <w:rFonts w:ascii="Times New Roman" w:hAnsi="Times New Roman" w:cs="Times New Roman"/>
                <w:b/>
                <w:iCs/>
                <w:sz w:val="24"/>
                <w:szCs w:val="24"/>
              </w:rPr>
            </w:pPr>
            <w:r w:rsidRPr="00AC1467">
              <w:rPr>
                <w:rFonts w:ascii="Times New Roman" w:eastAsia="Calibri" w:hAnsi="Times New Roman" w:cs="Times New Roman"/>
                <w:b/>
                <w:iCs/>
                <w:sz w:val="24"/>
                <w:szCs w:val="24"/>
              </w:rPr>
              <w:t>Kit manipulare și transport materiale CBRN</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C82CA9">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C82CA9">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AC1467">
                    <w:rPr>
                      <w:rFonts w:ascii="Times New Roman" w:hAnsi="Times New Roman" w:cs="Times New Roman"/>
                      <w:color w:val="000000"/>
                      <w:sz w:val="20"/>
                      <w:szCs w:val="20"/>
                    </w:rPr>
                    <w:t>10</w:t>
                  </w:r>
                </w:p>
              </w:tc>
              <w:tc>
                <w:tcPr>
                  <w:tcW w:w="1184" w:type="pct"/>
                  <w:vAlign w:val="center"/>
                </w:tcPr>
                <w:p w:rsidR="00272BC7" w:rsidRPr="00382D95" w:rsidRDefault="00AC1467" w:rsidP="00272BC7">
                  <w:pPr>
                    <w:spacing w:after="0" w:line="240" w:lineRule="auto"/>
                    <w:jc w:val="both"/>
                    <w:rPr>
                      <w:rFonts w:ascii="Times New Roman" w:hAnsi="Times New Roman" w:cs="Times New Roman"/>
                      <w:color w:val="000000"/>
                      <w:sz w:val="20"/>
                      <w:szCs w:val="20"/>
                    </w:rPr>
                  </w:pPr>
                  <w:r w:rsidRPr="00AC1467">
                    <w:rPr>
                      <w:rFonts w:ascii="Times New Roman" w:hAnsi="Times New Roman" w:cs="Times New Roman"/>
                      <w:color w:val="000000"/>
                      <w:sz w:val="20"/>
                      <w:szCs w:val="20"/>
                    </w:rPr>
                    <w:t>Kit manipulare și transport materiale CBRN</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8F41D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77" w:type="pct"/>
                  <w:vAlign w:val="center"/>
                </w:tcPr>
                <w:p w:rsidR="00272BC7" w:rsidRPr="00382D95" w:rsidRDefault="008F41D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676" w:type="pct"/>
                  <w:vAlign w:val="center"/>
                </w:tcPr>
                <w:p w:rsidR="00272BC7" w:rsidRPr="00382D95" w:rsidRDefault="008F41D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90" w:type="pct"/>
                  <w:vAlign w:val="center"/>
                </w:tcPr>
                <w:p w:rsidR="00272BC7" w:rsidRPr="00382D95" w:rsidRDefault="008F41D2"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BA4253" w:rsidRPr="00BA4253">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BA4253" w:rsidRPr="00BA4253">
              <w:rPr>
                <w:rFonts w:ascii="Times New Roman" w:hAnsi="Times New Roman" w:cs="Times New Roman"/>
                <w:i/>
                <w:iCs/>
                <w:sz w:val="24"/>
                <w:szCs w:val="24"/>
              </w:rPr>
              <w:fldChar w:fldCharType="separate"/>
            </w:r>
            <w:r w:rsidR="00231F26">
              <w:rPr>
                <w:rFonts w:ascii="Times New Roman" w:hAnsi="Times New Roman" w:cs="Times New Roman"/>
                <w:i/>
                <w:iCs/>
                <w:noProof/>
                <w:sz w:val="24"/>
                <w:szCs w:val="24"/>
              </w:rPr>
              <w:t>1</w:t>
            </w:r>
            <w:r w:rsidR="00BA4253"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C82CA9">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8F41D2" w:rsidRPr="00B14B58" w:rsidTr="00B02AFC">
              <w:trPr>
                <w:cantSplit/>
                <w:trHeight w:val="567"/>
                <w:jc w:val="center"/>
              </w:trPr>
              <w:tc>
                <w:tcPr>
                  <w:tcW w:w="480" w:type="pct"/>
                  <w:vAlign w:val="center"/>
                </w:tcPr>
                <w:p w:rsidR="008F41D2" w:rsidRPr="00C159E8" w:rsidRDefault="008F41D2" w:rsidP="008F41D2">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10</w:t>
                  </w:r>
                </w:p>
              </w:tc>
              <w:tc>
                <w:tcPr>
                  <w:tcW w:w="1621" w:type="pct"/>
                  <w:vAlign w:val="center"/>
                </w:tcPr>
                <w:p w:rsidR="008F41D2" w:rsidRPr="00C159E8" w:rsidRDefault="008F41D2" w:rsidP="008F41D2">
                  <w:pPr>
                    <w:spacing w:after="0" w:line="240" w:lineRule="auto"/>
                    <w:jc w:val="both"/>
                    <w:rPr>
                      <w:rFonts w:ascii="Times New Roman" w:eastAsia="Calibri" w:hAnsi="Times New Roman" w:cs="Times New Roman"/>
                      <w:sz w:val="20"/>
                      <w:szCs w:val="20"/>
                    </w:rPr>
                  </w:pPr>
                  <w:r w:rsidRPr="00AC1467">
                    <w:rPr>
                      <w:rFonts w:ascii="Times New Roman" w:hAnsi="Times New Roman" w:cs="Times New Roman"/>
                      <w:color w:val="000000"/>
                      <w:sz w:val="20"/>
                      <w:szCs w:val="20"/>
                    </w:rPr>
                    <w:t>Kit manipulare și transport materiale CBRN</w:t>
                  </w:r>
                </w:p>
              </w:tc>
              <w:tc>
                <w:tcPr>
                  <w:tcW w:w="1212" w:type="pct"/>
                  <w:vAlign w:val="center"/>
                </w:tcPr>
                <w:p w:rsidR="008F41D2" w:rsidRPr="00C159E8" w:rsidRDefault="008F41D2" w:rsidP="008F41D2">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7</w:t>
                  </w:r>
                </w:p>
              </w:tc>
              <w:tc>
                <w:tcPr>
                  <w:tcW w:w="1686" w:type="pct"/>
                  <w:vAlign w:val="center"/>
                </w:tcPr>
                <w:p w:rsidR="008F41D2" w:rsidRPr="00C159E8" w:rsidRDefault="008F41D2" w:rsidP="008F41D2">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lastRenderedPageBreak/>
              <w:t>•</w:t>
            </w:r>
            <w:r w:rsidRPr="00FE08CF">
              <w:rPr>
                <w:rFonts w:ascii="Times New Roman" w:hAnsi="Times New Roman" w:cs="Times New Roman"/>
                <w:bCs/>
                <w:sz w:val="24"/>
                <w:szCs w:val="24"/>
              </w:rPr>
              <w:tab/>
              <w:t>acceptarea produsului alternativ nu afectează 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C82CA9">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lastRenderedPageBreak/>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8F41D2" w:rsidRPr="00B14B58" w:rsidTr="00C82CA9">
              <w:trPr>
                <w:trHeight w:val="639"/>
              </w:trPr>
              <w:tc>
                <w:tcPr>
                  <w:tcW w:w="584" w:type="pct"/>
                  <w:vAlign w:val="center"/>
                </w:tcPr>
                <w:p w:rsidR="008F41D2" w:rsidRPr="006E100C" w:rsidRDefault="008F41D2" w:rsidP="008F41D2">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10</w:t>
                  </w:r>
                </w:p>
              </w:tc>
              <w:tc>
                <w:tcPr>
                  <w:tcW w:w="1862" w:type="pct"/>
                  <w:vAlign w:val="center"/>
                </w:tcPr>
                <w:p w:rsidR="008F41D2" w:rsidRPr="00C61DA5" w:rsidRDefault="008F41D2" w:rsidP="008F41D2">
                  <w:pPr>
                    <w:spacing w:after="0" w:line="240" w:lineRule="auto"/>
                    <w:jc w:val="both"/>
                    <w:rPr>
                      <w:rFonts w:ascii="Times New Roman" w:eastAsia="Calibri" w:hAnsi="Times New Roman" w:cs="Times New Roman"/>
                      <w:sz w:val="20"/>
                      <w:szCs w:val="20"/>
                    </w:rPr>
                  </w:pPr>
                  <w:r w:rsidRPr="00AC1467">
                    <w:rPr>
                      <w:rFonts w:ascii="Times New Roman" w:hAnsi="Times New Roman" w:cs="Times New Roman"/>
                      <w:color w:val="000000"/>
                      <w:sz w:val="20"/>
                      <w:szCs w:val="20"/>
                    </w:rPr>
                    <w:t>Kit manipulare și transport materiale CBRN</w:t>
                  </w:r>
                </w:p>
              </w:tc>
              <w:tc>
                <w:tcPr>
                  <w:tcW w:w="980" w:type="pct"/>
                  <w:vAlign w:val="center"/>
                </w:tcPr>
                <w:p w:rsidR="008F41D2" w:rsidRPr="00B14B58" w:rsidRDefault="008F41D2" w:rsidP="008F41D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8F41D2" w:rsidRPr="00B14B58" w:rsidRDefault="008F41D2" w:rsidP="008F41D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8F41D2" w:rsidRPr="00B14B58" w:rsidRDefault="008F41D2" w:rsidP="008F41D2">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w:t>
            </w:r>
            <w:r w:rsidRPr="00482582">
              <w:rPr>
                <w:rFonts w:ascii="Times New Roman" w:hAnsi="Times New Roman" w:cs="Times New Roman"/>
                <w:sz w:val="24"/>
                <w:szCs w:val="24"/>
              </w:rPr>
              <w:lastRenderedPageBreak/>
              <w:t xml:space="preserve">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Activitatea va avea ca finalitate eliberarea unui document </w:t>
            </w:r>
            <w:r w:rsidRPr="00482582">
              <w:rPr>
                <w:rFonts w:ascii="Times New Roman" w:hAnsi="Times New Roman" w:cs="Times New Roman"/>
                <w:sz w:val="24"/>
                <w:szCs w:val="24"/>
              </w:rPr>
              <w:lastRenderedPageBreak/>
              <w:t>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C82CA9">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D30149" w:rsidRPr="00B14B58" w:rsidTr="00955F70">
              <w:trPr>
                <w:trHeight w:val="567"/>
              </w:trPr>
              <w:tc>
                <w:tcPr>
                  <w:tcW w:w="709" w:type="dxa"/>
                  <w:vAlign w:val="center"/>
                </w:tcPr>
                <w:p w:rsidR="00D30149" w:rsidRPr="00763690" w:rsidRDefault="00D30149" w:rsidP="00D30149">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10</w:t>
                  </w:r>
                </w:p>
              </w:tc>
              <w:tc>
                <w:tcPr>
                  <w:tcW w:w="2428" w:type="dxa"/>
                  <w:vAlign w:val="center"/>
                </w:tcPr>
                <w:p w:rsidR="00D30149" w:rsidRPr="00C61DA5" w:rsidRDefault="00D30149" w:rsidP="00D30149">
                  <w:pPr>
                    <w:spacing w:after="0" w:line="276" w:lineRule="auto"/>
                    <w:jc w:val="both"/>
                    <w:rPr>
                      <w:rFonts w:ascii="Times New Roman" w:eastAsia="Calibri" w:hAnsi="Times New Roman" w:cs="Times New Roman"/>
                      <w:sz w:val="20"/>
                      <w:szCs w:val="20"/>
                    </w:rPr>
                  </w:pPr>
                  <w:r w:rsidRPr="00AC1467">
                    <w:rPr>
                      <w:rFonts w:ascii="Times New Roman" w:hAnsi="Times New Roman" w:cs="Times New Roman"/>
                      <w:color w:val="000000"/>
                      <w:sz w:val="20"/>
                      <w:szCs w:val="20"/>
                    </w:rPr>
                    <w:t>Kit manipulare și transport materiale CBRN</w:t>
                  </w:r>
                </w:p>
              </w:tc>
              <w:tc>
                <w:tcPr>
                  <w:tcW w:w="1383" w:type="dxa"/>
                  <w:vAlign w:val="center"/>
                </w:tcPr>
                <w:p w:rsidR="00D30149" w:rsidRPr="00B14B58" w:rsidRDefault="00D30149" w:rsidP="00D30149">
                  <w:pPr>
                    <w:pStyle w:val="Corptext2"/>
                    <w:spacing w:after="0" w:line="276" w:lineRule="auto"/>
                    <w:jc w:val="center"/>
                  </w:pPr>
                  <w:r w:rsidRPr="00B14B58">
                    <w:t>4</w:t>
                  </w:r>
                </w:p>
              </w:tc>
              <w:tc>
                <w:tcPr>
                  <w:tcW w:w="1528" w:type="dxa"/>
                  <w:vAlign w:val="center"/>
                </w:tcPr>
                <w:p w:rsidR="00D30149" w:rsidRPr="00B14B58" w:rsidRDefault="00D30149" w:rsidP="00D30149">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Activitățile de mentenanță corectivă pentru produsele ce urmează a fi livrate (inclusiv a produselor din inventarul de complet) pot fi asigurate de contractant, fie prin resurse </w:t>
            </w:r>
            <w:r w:rsidRPr="00254283">
              <w:rPr>
                <w:rFonts w:ascii="Times New Roman" w:hAnsi="Times New Roman" w:cs="Times New Roman"/>
                <w:sz w:val="24"/>
                <w:szCs w:val="24"/>
              </w:rPr>
              <w:lastRenderedPageBreak/>
              <w:t>proprii, fie prin implicarea de subcontractanți.</w:t>
            </w:r>
          </w:p>
          <w:p w:rsidR="005121B0" w:rsidRPr="00254283" w:rsidRDefault="005121B0" w:rsidP="00E26F71">
            <w:pPr>
              <w:spacing w:after="0" w:line="240" w:lineRule="auto"/>
              <w:jc w:val="both"/>
              <w:rPr>
                <w:rFonts w:ascii="Times New Roman" w:hAnsi="Times New Roman" w:cs="Times New Roman"/>
                <w:sz w:val="24"/>
                <w:szCs w:val="24"/>
              </w:rPr>
            </w:pPr>
            <w:r w:rsidRPr="005121B0">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w:t>
            </w:r>
            <w:r w:rsidRPr="00254283">
              <w:rPr>
                <w:rFonts w:ascii="Times New Roman" w:hAnsi="Times New Roman" w:cs="Times New Roman"/>
                <w:sz w:val="24"/>
                <w:szCs w:val="24"/>
              </w:rPr>
              <w:lastRenderedPageBreak/>
              <w:t>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 xml:space="preserve">Constrângeri privind locația unde se va efectua </w:t>
            </w:r>
            <w:r w:rsidRPr="00134FD8">
              <w:rPr>
                <w:rFonts w:ascii="Times New Roman" w:hAnsi="Times New Roman" w:cs="Times New Roman"/>
                <w:b/>
                <w:bCs/>
                <w:sz w:val="24"/>
                <w:szCs w:val="24"/>
              </w:rPr>
              <w:lastRenderedPageBreak/>
              <w:t>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va specifica faptul că produsul va fi livrat la adresa </w:t>
            </w:r>
            <w:r w:rsidRPr="0056486C">
              <w:rPr>
                <w:rFonts w:ascii="Times New Roman" w:hAnsi="Times New Roman"/>
                <w:sz w:val="20"/>
                <w:szCs w:val="20"/>
              </w:rPr>
              <w:lastRenderedPageBreak/>
              <w:t>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 xml:space="preserve">îndeplinirea obligațiilor contractuale, cu respectarea bunelor practici din domeniu, a prevederilor legale și contractuale relevante, astfel încât să se asigure că obligațiile </w:t>
            </w:r>
            <w:r w:rsidRPr="00BF28DD">
              <w:rPr>
                <w:rFonts w:ascii="Times New Roman" w:eastAsia="Times New Roman" w:hAnsi="Times New Roman"/>
                <w:bCs/>
                <w:sz w:val="24"/>
                <w:szCs w:val="24"/>
              </w:rPr>
              <w:lastRenderedPageBreak/>
              <w:t>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1D3B6A"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1D3B6A" w:rsidRPr="00BF28DD" w:rsidRDefault="001D3B6A" w:rsidP="001D3B6A">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lastRenderedPageBreak/>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1D3B6A" w:rsidRPr="00BF28DD"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1D3B6A" w:rsidRDefault="001D3B6A" w:rsidP="001D3B6A">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1D3B6A" w:rsidRPr="00BF28DD" w:rsidRDefault="001D3B6A" w:rsidP="001D3B6A">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1D3B6A" w:rsidRPr="00BF28DD" w:rsidRDefault="001D3B6A" w:rsidP="001D3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1D3B6A" w:rsidRDefault="001D3B6A" w:rsidP="001D3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1D3B6A" w:rsidRPr="00BF28DD" w:rsidRDefault="001D3B6A" w:rsidP="001D3B6A">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1D3B6A" w:rsidRPr="00BF28DD" w:rsidRDefault="001D3B6A" w:rsidP="001D3B6A">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1D3B6A" w:rsidRPr="00BF28DD" w:rsidRDefault="001D3B6A" w:rsidP="001D3B6A">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w:t>
            </w:r>
            <w:r w:rsidRPr="002D2DCF">
              <w:rPr>
                <w:rFonts w:ascii="Times New Roman" w:hAnsi="Times New Roman" w:cs="Times New Roman"/>
                <w:sz w:val="24"/>
                <w:szCs w:val="24"/>
              </w:rPr>
              <w:lastRenderedPageBreak/>
              <w:t>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w:t>
            </w:r>
            <w:r w:rsidRPr="002D2DCF">
              <w:rPr>
                <w:rFonts w:ascii="Times New Roman" w:hAnsi="Times New Roman" w:cs="Times New Roman"/>
                <w:sz w:val="24"/>
                <w:szCs w:val="24"/>
              </w:rPr>
              <w:lastRenderedPageBreak/>
              <w:t>de penalități).</w:t>
            </w:r>
          </w:p>
          <w:p w:rsidR="007F6720"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p w:rsidR="00BD5C30" w:rsidRPr="00BF28DD" w:rsidRDefault="00BD5C3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C829EF">
              <w:rPr>
                <w:rFonts w:ascii="Times New Roman" w:hAnsi="Times New Roman" w:cs="Times New Roman"/>
                <w:b/>
                <w:sz w:val="24"/>
                <w:szCs w:val="24"/>
              </w:rPr>
              <w:t>66488</w:t>
            </w:r>
            <w:r>
              <w:rPr>
                <w:rFonts w:ascii="Times New Roman" w:hAnsi="Times New Roman" w:cs="Times New Roman"/>
                <w:b/>
                <w:sz w:val="24"/>
                <w:szCs w:val="24"/>
              </w:rPr>
              <w:t xml:space="preserve"> din </w:t>
            </w:r>
            <w:r w:rsidR="00C829EF">
              <w:rPr>
                <w:rFonts w:ascii="Times New Roman" w:hAnsi="Times New Roman" w:cs="Times New Roman"/>
                <w:b/>
                <w:sz w:val="24"/>
                <w:szCs w:val="24"/>
              </w:rPr>
              <w:t>04.06</w:t>
            </w:r>
            <w:r w:rsidR="00AC031C">
              <w:rPr>
                <w:rFonts w:ascii="Times New Roman" w:hAnsi="Times New Roman" w:cs="Times New Roman"/>
                <w:b/>
                <w:sz w:val="24"/>
                <w:szCs w:val="24"/>
              </w:rPr>
              <w:t>.</w:t>
            </w:r>
            <w:r>
              <w:rPr>
                <w:rFonts w:ascii="Times New Roman" w:hAnsi="Times New Roman" w:cs="Times New Roman"/>
                <w:b/>
                <w:sz w:val="24"/>
                <w:szCs w:val="24"/>
              </w:rPr>
              <w:t>2025</w:t>
            </w:r>
          </w:p>
          <w:p w:rsidR="00AC1467" w:rsidRDefault="00AC1467" w:rsidP="00833200">
            <w:pPr>
              <w:spacing w:after="0" w:line="240" w:lineRule="auto"/>
              <w:jc w:val="center"/>
              <w:rPr>
                <w:rFonts w:ascii="Times New Roman" w:hAnsi="Times New Roman" w:cs="Times New Roman"/>
                <w:b/>
                <w:sz w:val="24"/>
                <w:szCs w:val="24"/>
              </w:rPr>
            </w:pPr>
            <w:r w:rsidRPr="00AC1467">
              <w:rPr>
                <w:rFonts w:ascii="Times New Roman" w:hAnsi="Times New Roman" w:cs="Times New Roman"/>
                <w:b/>
                <w:sz w:val="24"/>
                <w:szCs w:val="24"/>
              </w:rPr>
              <w:t>KIT MANIPULARE ȘI TRANSPORT MATERIALE CBRN</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BD5C30" w:rsidRPr="0034411B" w:rsidRDefault="00795DCC" w:rsidP="003F6FBD">
            <w:pPr>
              <w:spacing w:after="0" w:line="276" w:lineRule="auto"/>
              <w:jc w:val="both"/>
              <w:rPr>
                <w:rFonts w:ascii="Times New Roman" w:hAnsi="Times New Roman" w:cs="Times New Roman"/>
                <w:sz w:val="24"/>
                <w:szCs w:val="24"/>
              </w:rPr>
            </w:pPr>
            <w:r w:rsidRPr="00795DCC">
              <w:rPr>
                <w:rFonts w:ascii="Times New Roman" w:hAnsi="Times New Roman" w:cs="Times New Roman"/>
                <w:sz w:val="24"/>
                <w:szCs w:val="24"/>
              </w:rPr>
              <w:t>Asigurarea transportului materialelor și substanțelor ce prezintă risc CBRN, pentru personalul de specialitate pe timpul intervențiilor în situații de urgență nucleară sau radiologică.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 xml:space="preserve">2.1. Produsele vor fi fabricate astfel încât să satisfacă </w:t>
            </w:r>
            <w:proofErr w:type="spellStart"/>
            <w:r w:rsidRPr="00795DCC">
              <w:rPr>
                <w:rFonts w:ascii="Times New Roman" w:hAnsi="Times New Roman" w:cs="Times New Roman"/>
                <w:sz w:val="24"/>
                <w:szCs w:val="24"/>
              </w:rPr>
              <w:t>cerinţeleesenţiale</w:t>
            </w:r>
            <w:proofErr w:type="spellEnd"/>
            <w:r w:rsidRPr="00795DCC">
              <w:rPr>
                <w:rFonts w:ascii="Times New Roman" w:hAnsi="Times New Roman" w:cs="Times New Roman"/>
                <w:sz w:val="24"/>
                <w:szCs w:val="24"/>
              </w:rPr>
              <w:t xml:space="preserve"> de sănătate şi securitate și cerinţele conform ADR (European agreement for </w:t>
            </w:r>
            <w:proofErr w:type="spellStart"/>
            <w:r w:rsidRPr="00795DCC">
              <w:rPr>
                <w:rFonts w:ascii="Times New Roman" w:hAnsi="Times New Roman" w:cs="Times New Roman"/>
                <w:sz w:val="24"/>
                <w:szCs w:val="24"/>
              </w:rPr>
              <w:t>the</w:t>
            </w:r>
            <w:proofErr w:type="spellEnd"/>
            <w:r w:rsidRPr="00795DCC">
              <w:rPr>
                <w:rFonts w:ascii="Times New Roman" w:hAnsi="Times New Roman" w:cs="Times New Roman"/>
                <w:sz w:val="24"/>
                <w:szCs w:val="24"/>
              </w:rPr>
              <w:t xml:space="preserve"> transport of </w:t>
            </w:r>
            <w:proofErr w:type="spellStart"/>
            <w:r w:rsidRPr="00795DCC">
              <w:rPr>
                <w:rFonts w:ascii="Times New Roman" w:hAnsi="Times New Roman" w:cs="Times New Roman"/>
                <w:sz w:val="24"/>
                <w:szCs w:val="24"/>
              </w:rPr>
              <w:t>hazardousmaterialsbyroad</w:t>
            </w:r>
            <w:proofErr w:type="spellEnd"/>
            <w:r w:rsidRPr="00795DCC">
              <w:rPr>
                <w:rFonts w:ascii="Times New Roman" w:hAnsi="Times New Roman" w:cs="Times New Roman"/>
                <w:sz w:val="24"/>
                <w:szCs w:val="24"/>
              </w:rPr>
              <w:t>) și standardele STANAG 4280 și DEF-STAN 81-41 sau echivalent.</w:t>
            </w:r>
          </w:p>
          <w:p w:rsidR="00306BF4" w:rsidRPr="000F3CCF" w:rsidRDefault="00306BF4" w:rsidP="00306BF4">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795DCC" w:rsidRPr="00795DCC" w:rsidRDefault="00306BF4" w:rsidP="00306BF4">
            <w:pPr>
              <w:spacing w:after="0" w:line="240" w:lineRule="auto"/>
              <w:jc w:val="both"/>
              <w:rPr>
                <w:rFonts w:ascii="Times New Roman" w:hAnsi="Times New Roman" w:cs="Times New Roman"/>
                <w:sz w:val="24"/>
                <w:szCs w:val="24"/>
              </w:rPr>
            </w:pPr>
            <w:r w:rsidRPr="000F3CCF">
              <w:rPr>
                <w:rFonts w:ascii="Times New Roman" w:hAnsi="Times New Roman" w:cs="Times New Roman"/>
                <w:i/>
                <w:iCs/>
                <w:sz w:val="24"/>
                <w:szCs w:val="24"/>
              </w:rPr>
              <w:t xml:space="preserve">2.1. Produsele vor fi fabricate astfel încât să satisfacă cerințele conform ADR (European agreement for </w:t>
            </w:r>
            <w:proofErr w:type="spellStart"/>
            <w:r w:rsidRPr="000F3CCF">
              <w:rPr>
                <w:rFonts w:ascii="Times New Roman" w:hAnsi="Times New Roman" w:cs="Times New Roman"/>
                <w:i/>
                <w:iCs/>
                <w:sz w:val="24"/>
                <w:szCs w:val="24"/>
              </w:rPr>
              <w:t>the</w:t>
            </w:r>
            <w:proofErr w:type="spellEnd"/>
            <w:r w:rsidRPr="000F3CCF">
              <w:rPr>
                <w:rFonts w:ascii="Times New Roman" w:hAnsi="Times New Roman" w:cs="Times New Roman"/>
                <w:i/>
                <w:iCs/>
                <w:sz w:val="24"/>
                <w:szCs w:val="24"/>
              </w:rPr>
              <w:t xml:space="preserve"> transport of </w:t>
            </w:r>
            <w:proofErr w:type="spellStart"/>
            <w:r w:rsidRPr="000F3CCF">
              <w:rPr>
                <w:rFonts w:ascii="Times New Roman" w:hAnsi="Times New Roman" w:cs="Times New Roman"/>
                <w:i/>
                <w:iCs/>
                <w:sz w:val="24"/>
                <w:szCs w:val="24"/>
              </w:rPr>
              <w:t>hazardousmaterialsbyroad</w:t>
            </w:r>
            <w:proofErr w:type="spellEnd"/>
            <w:r w:rsidRPr="000F3CCF">
              <w:rPr>
                <w:rFonts w:ascii="Times New Roman" w:hAnsi="Times New Roman" w:cs="Times New Roman"/>
                <w:i/>
                <w:iCs/>
                <w:sz w:val="24"/>
                <w:szCs w:val="24"/>
              </w:rPr>
              <w:t>).</w:t>
            </w:r>
          </w:p>
          <w:p w:rsidR="003F6FBD"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2.2. La livrare, se va prezenta o declarație de conformitate pe propria răspundere, emisă de producător, din care să rezulte că produsele livrate sunt identice cu cele certificate.</w:t>
            </w:r>
          </w:p>
          <w:p w:rsidR="00DB51E7" w:rsidRPr="000F3CCF" w:rsidRDefault="00DB51E7" w:rsidP="00DB51E7">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DB51E7" w:rsidRPr="00FB6F68" w:rsidRDefault="00FB6F68" w:rsidP="00795DCC">
            <w:pPr>
              <w:spacing w:after="0" w:line="240" w:lineRule="auto"/>
              <w:jc w:val="both"/>
              <w:rPr>
                <w:rFonts w:ascii="Times New Roman" w:hAnsi="Times New Roman" w:cs="Times New Roman"/>
                <w:i/>
                <w:iCs/>
                <w:sz w:val="24"/>
                <w:szCs w:val="24"/>
              </w:rPr>
            </w:pPr>
            <w:r w:rsidRPr="00FB6F68">
              <w:rPr>
                <w:rFonts w:ascii="Times New Roman" w:hAnsi="Times New Roman" w:cs="Times New Roman"/>
                <w:bCs/>
                <w:i/>
                <w:iCs/>
                <w:sz w:val="24"/>
                <w:szCs w:val="24"/>
              </w:rPr>
              <w:t>2.2.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DA7EC3"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lastRenderedPageBreak/>
              <w:t>3.1. Container pentru depozitarea și transportul în siguranță a agențiilor CBRN.</w:t>
            </w:r>
          </w:p>
          <w:p w:rsidR="00BD5C30" w:rsidRPr="00F840F2"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3.2. Echipamentul trebuie să dețină accesorii specifice pentru o manipulare cât mai optimă și un transport cât mai eficient în zona de intervenție, fără a pune în dificultate operatorul.</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4.1</w:t>
            </w:r>
            <w:r w:rsidRPr="00795DCC">
              <w:rPr>
                <w:rFonts w:ascii="Times New Roman" w:hAnsi="Times New Roman" w:cs="Times New Roman"/>
                <w:sz w:val="24"/>
                <w:szCs w:val="24"/>
              </w:rPr>
              <w:tab/>
              <w:t>Dimensiunea trusei de transport: maxim 600 mm x 400 mm x 400 mm;</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4.2</w:t>
            </w:r>
            <w:r w:rsidRPr="00795DCC">
              <w:rPr>
                <w:rFonts w:ascii="Times New Roman" w:hAnsi="Times New Roman" w:cs="Times New Roman"/>
                <w:sz w:val="24"/>
                <w:szCs w:val="24"/>
              </w:rPr>
              <w:tab/>
              <w:t xml:space="preserve">Să asigure protecție și transportul în siguranță a materialelor din clasele de pericol: cel puțin clasa 1.4, clasa 6.1, clasa 6.2, clasa 7 conform ADR (European agreement for </w:t>
            </w:r>
            <w:proofErr w:type="spellStart"/>
            <w:r w:rsidRPr="00795DCC">
              <w:rPr>
                <w:rFonts w:ascii="Times New Roman" w:hAnsi="Times New Roman" w:cs="Times New Roman"/>
                <w:sz w:val="24"/>
                <w:szCs w:val="24"/>
              </w:rPr>
              <w:t>the</w:t>
            </w:r>
            <w:proofErr w:type="spellEnd"/>
            <w:r w:rsidRPr="00795DCC">
              <w:rPr>
                <w:rFonts w:ascii="Times New Roman" w:hAnsi="Times New Roman" w:cs="Times New Roman"/>
                <w:sz w:val="24"/>
                <w:szCs w:val="24"/>
              </w:rPr>
              <w:t xml:space="preserve"> transport of </w:t>
            </w:r>
            <w:proofErr w:type="spellStart"/>
            <w:r w:rsidRPr="00795DCC">
              <w:rPr>
                <w:rFonts w:ascii="Times New Roman" w:hAnsi="Times New Roman" w:cs="Times New Roman"/>
                <w:sz w:val="24"/>
                <w:szCs w:val="24"/>
              </w:rPr>
              <w:t>hazardousmaterialsbyroad</w:t>
            </w:r>
            <w:proofErr w:type="spellEnd"/>
            <w:r w:rsidRPr="00795DCC">
              <w:rPr>
                <w:rFonts w:ascii="Times New Roman" w:hAnsi="Times New Roman" w:cs="Times New Roman"/>
                <w:sz w:val="24"/>
                <w:szCs w:val="24"/>
              </w:rPr>
              <w:t>);</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4.3</w:t>
            </w:r>
            <w:r w:rsidRPr="00795DCC">
              <w:rPr>
                <w:rFonts w:ascii="Times New Roman" w:hAnsi="Times New Roman" w:cs="Times New Roman"/>
                <w:sz w:val="24"/>
                <w:szCs w:val="24"/>
              </w:rPr>
              <w:tab/>
              <w:t>Volumul interior al containerului de transport: cel puțin 1 litru;</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4.4</w:t>
            </w:r>
            <w:r w:rsidRPr="00795DCC">
              <w:rPr>
                <w:rFonts w:ascii="Times New Roman" w:hAnsi="Times New Roman" w:cs="Times New Roman"/>
                <w:sz w:val="24"/>
                <w:szCs w:val="24"/>
              </w:rPr>
              <w:tab/>
              <w:t>Masa maximă de agent CBRN ce poate fi transportată: cel puțin 1 kg;</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4.5</w:t>
            </w:r>
            <w:r w:rsidRPr="00795DCC">
              <w:rPr>
                <w:rFonts w:ascii="Times New Roman" w:hAnsi="Times New Roman" w:cs="Times New Roman"/>
                <w:sz w:val="24"/>
                <w:szCs w:val="24"/>
              </w:rPr>
              <w:tab/>
              <w:t xml:space="preserve">Produs din materiale ignifuge și rezistente la coroziune; </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4.6</w:t>
            </w:r>
            <w:r w:rsidRPr="00795DCC">
              <w:rPr>
                <w:rFonts w:ascii="Times New Roman" w:hAnsi="Times New Roman" w:cs="Times New Roman"/>
                <w:sz w:val="24"/>
                <w:szCs w:val="24"/>
              </w:rPr>
              <w:tab/>
              <w:t>Să fie reutilizabil și să prezinte zonă de marcare reutilizabilă;</w:t>
            </w:r>
          </w:p>
          <w:p w:rsidR="00795DCC" w:rsidRPr="00795DCC"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4.7</w:t>
            </w:r>
            <w:r w:rsidRPr="00795DCC">
              <w:rPr>
                <w:rFonts w:ascii="Times New Roman" w:hAnsi="Times New Roman" w:cs="Times New Roman"/>
                <w:sz w:val="24"/>
                <w:szCs w:val="24"/>
              </w:rPr>
              <w:tab/>
              <w:t>Intervalul minim de temperatură la care este asigurată protecția: -40°C…+55°C;</w:t>
            </w:r>
          </w:p>
          <w:p w:rsidR="00E26605" w:rsidRPr="00F840F2" w:rsidRDefault="00795DCC" w:rsidP="00795DCC">
            <w:pPr>
              <w:spacing w:after="0" w:line="240" w:lineRule="auto"/>
              <w:jc w:val="both"/>
              <w:rPr>
                <w:rFonts w:ascii="Times New Roman" w:hAnsi="Times New Roman" w:cs="Times New Roman"/>
                <w:sz w:val="24"/>
                <w:szCs w:val="24"/>
              </w:rPr>
            </w:pPr>
            <w:r w:rsidRPr="00795DCC">
              <w:rPr>
                <w:rFonts w:ascii="Times New Roman" w:hAnsi="Times New Roman" w:cs="Times New Roman"/>
                <w:sz w:val="24"/>
                <w:szCs w:val="24"/>
              </w:rPr>
              <w:t>4.8</w:t>
            </w:r>
            <w:r w:rsidRPr="00795DCC">
              <w:rPr>
                <w:rFonts w:ascii="Times New Roman" w:hAnsi="Times New Roman" w:cs="Times New Roman"/>
                <w:sz w:val="24"/>
                <w:szCs w:val="24"/>
              </w:rPr>
              <w:tab/>
              <w:t>Masa maximă: cel mult 60 kg.</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231F26" w:rsidRPr="0097392C" w:rsidTr="00B560CA">
        <w:trPr>
          <w:trHeight w:val="303"/>
        </w:trPr>
        <w:tc>
          <w:tcPr>
            <w:tcW w:w="5000" w:type="pct"/>
            <w:gridSpan w:val="3"/>
          </w:tcPr>
          <w:p w:rsidR="00231F26" w:rsidRPr="0097392C" w:rsidRDefault="00231F26"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t>Modalitatea de îndeplinire a cerințelor referitoare la factorii de evaluare de natură tehnică utilizați în aplicarea criteriului „cel mai bun raport calitate-preț”</w:t>
            </w:r>
          </w:p>
        </w:tc>
      </w:tr>
      <w:tr w:rsidR="00231F26" w:rsidRPr="0097392C" w:rsidTr="00B560CA">
        <w:trPr>
          <w:trHeight w:val="303"/>
        </w:trPr>
        <w:tc>
          <w:tcPr>
            <w:tcW w:w="3119" w:type="pct"/>
          </w:tcPr>
          <w:p w:rsidR="00231F26" w:rsidRPr="0097392C" w:rsidRDefault="00231F26"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231F26" w:rsidRPr="0097392C" w:rsidRDefault="00231F26"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231F26" w:rsidRPr="0097392C" w:rsidRDefault="00231F26"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231F26" w:rsidRPr="0097392C" w:rsidTr="00B560CA">
        <w:trPr>
          <w:trHeight w:val="303"/>
        </w:trPr>
        <w:tc>
          <w:tcPr>
            <w:tcW w:w="3119" w:type="pct"/>
            <w:vAlign w:val="center"/>
          </w:tcPr>
          <w:p w:rsidR="00231F26" w:rsidRPr="0097392C" w:rsidRDefault="00231F26"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231F26" w:rsidRPr="0097392C" w:rsidRDefault="00231F26" w:rsidP="00B560CA">
            <w:pPr>
              <w:spacing w:after="0" w:line="240" w:lineRule="auto"/>
              <w:jc w:val="both"/>
              <w:rPr>
                <w:rFonts w:ascii="Times New Roman" w:hAnsi="Times New Roman"/>
                <w:sz w:val="24"/>
                <w:szCs w:val="24"/>
              </w:rPr>
            </w:pPr>
          </w:p>
        </w:tc>
        <w:tc>
          <w:tcPr>
            <w:tcW w:w="1008" w:type="pct"/>
          </w:tcPr>
          <w:p w:rsidR="00231F26" w:rsidRPr="0097392C" w:rsidRDefault="00231F26" w:rsidP="00B560CA">
            <w:pPr>
              <w:spacing w:after="0" w:line="240" w:lineRule="auto"/>
              <w:jc w:val="both"/>
              <w:rPr>
                <w:rFonts w:ascii="Times New Roman" w:hAnsi="Times New Roman"/>
                <w:b/>
                <w:sz w:val="24"/>
                <w:szCs w:val="24"/>
              </w:rPr>
            </w:pPr>
          </w:p>
        </w:tc>
      </w:tr>
      <w:tr w:rsidR="00231F26" w:rsidRPr="0097392C" w:rsidTr="00B560CA">
        <w:trPr>
          <w:trHeight w:val="303"/>
        </w:trPr>
        <w:tc>
          <w:tcPr>
            <w:tcW w:w="3119" w:type="pct"/>
            <w:vAlign w:val="center"/>
          </w:tcPr>
          <w:p w:rsidR="00231F26" w:rsidRPr="0097392C" w:rsidRDefault="00231F26"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231F26" w:rsidRPr="0097392C" w:rsidRDefault="00231F26" w:rsidP="00B560CA">
            <w:pPr>
              <w:spacing w:after="0" w:line="240" w:lineRule="auto"/>
              <w:jc w:val="both"/>
              <w:rPr>
                <w:rFonts w:ascii="Times New Roman" w:hAnsi="Times New Roman"/>
                <w:sz w:val="24"/>
                <w:szCs w:val="24"/>
              </w:rPr>
            </w:pPr>
          </w:p>
        </w:tc>
        <w:tc>
          <w:tcPr>
            <w:tcW w:w="1008" w:type="pct"/>
          </w:tcPr>
          <w:p w:rsidR="00231F26" w:rsidRPr="0097392C" w:rsidRDefault="00231F26"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A9" w:rsidRDefault="00C82CA9" w:rsidP="00B87A6A">
      <w:pPr>
        <w:spacing w:after="0" w:line="240" w:lineRule="auto"/>
      </w:pPr>
      <w:r>
        <w:separator/>
      </w:r>
    </w:p>
  </w:endnote>
  <w:endnote w:type="continuationSeparator" w:id="1">
    <w:p w:rsidR="00C82CA9" w:rsidRDefault="00C82CA9"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A9" w:rsidRDefault="00C82CA9" w:rsidP="00B87A6A">
      <w:pPr>
        <w:spacing w:after="0" w:line="240" w:lineRule="auto"/>
      </w:pPr>
      <w:r>
        <w:separator/>
      </w:r>
    </w:p>
  </w:footnote>
  <w:footnote w:type="continuationSeparator" w:id="1">
    <w:p w:rsidR="00C82CA9" w:rsidRDefault="00C82CA9"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A9" w:rsidRDefault="00C82CA9">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30071"/>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1204"/>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557C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1042"/>
    <w:rsid w:val="001D3B6A"/>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1F26"/>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4A43"/>
    <w:rsid w:val="002A6636"/>
    <w:rsid w:val="002B2ECC"/>
    <w:rsid w:val="002C1450"/>
    <w:rsid w:val="002C36E5"/>
    <w:rsid w:val="002C467A"/>
    <w:rsid w:val="002C7182"/>
    <w:rsid w:val="002D1AE3"/>
    <w:rsid w:val="002D2DCF"/>
    <w:rsid w:val="002D419B"/>
    <w:rsid w:val="002D5E8B"/>
    <w:rsid w:val="002D71FA"/>
    <w:rsid w:val="002E6FA0"/>
    <w:rsid w:val="002F2047"/>
    <w:rsid w:val="002F61EB"/>
    <w:rsid w:val="00301C74"/>
    <w:rsid w:val="00302765"/>
    <w:rsid w:val="00306BF4"/>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065B"/>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2344C"/>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057D"/>
    <w:rsid w:val="005044C8"/>
    <w:rsid w:val="005101B8"/>
    <w:rsid w:val="005121B0"/>
    <w:rsid w:val="005156B5"/>
    <w:rsid w:val="00515CD5"/>
    <w:rsid w:val="005168DB"/>
    <w:rsid w:val="00516B3B"/>
    <w:rsid w:val="00523175"/>
    <w:rsid w:val="00526F78"/>
    <w:rsid w:val="00527762"/>
    <w:rsid w:val="00533285"/>
    <w:rsid w:val="00535A9C"/>
    <w:rsid w:val="005360AA"/>
    <w:rsid w:val="005426E8"/>
    <w:rsid w:val="00544F30"/>
    <w:rsid w:val="0055102D"/>
    <w:rsid w:val="00553896"/>
    <w:rsid w:val="005542DA"/>
    <w:rsid w:val="00554B25"/>
    <w:rsid w:val="005559A0"/>
    <w:rsid w:val="00557A88"/>
    <w:rsid w:val="00557DD6"/>
    <w:rsid w:val="00557EDF"/>
    <w:rsid w:val="005635B2"/>
    <w:rsid w:val="00563A92"/>
    <w:rsid w:val="00563E02"/>
    <w:rsid w:val="0057165F"/>
    <w:rsid w:val="00571BBD"/>
    <w:rsid w:val="0057384E"/>
    <w:rsid w:val="00573DDE"/>
    <w:rsid w:val="00576D61"/>
    <w:rsid w:val="005821E2"/>
    <w:rsid w:val="00584757"/>
    <w:rsid w:val="00587F16"/>
    <w:rsid w:val="00590CC4"/>
    <w:rsid w:val="00594D6D"/>
    <w:rsid w:val="005A5508"/>
    <w:rsid w:val="005A5622"/>
    <w:rsid w:val="005B019E"/>
    <w:rsid w:val="005B07B7"/>
    <w:rsid w:val="005C0423"/>
    <w:rsid w:val="005C19FB"/>
    <w:rsid w:val="005C5FA5"/>
    <w:rsid w:val="005D2D8A"/>
    <w:rsid w:val="005D623E"/>
    <w:rsid w:val="005E1719"/>
    <w:rsid w:val="005E7E6D"/>
    <w:rsid w:val="0060054B"/>
    <w:rsid w:val="00614924"/>
    <w:rsid w:val="006167B2"/>
    <w:rsid w:val="00625C9A"/>
    <w:rsid w:val="006275A4"/>
    <w:rsid w:val="006278ED"/>
    <w:rsid w:val="00631104"/>
    <w:rsid w:val="00632765"/>
    <w:rsid w:val="00640892"/>
    <w:rsid w:val="00642801"/>
    <w:rsid w:val="00653964"/>
    <w:rsid w:val="00662A70"/>
    <w:rsid w:val="00662F4F"/>
    <w:rsid w:val="0066640A"/>
    <w:rsid w:val="00667E34"/>
    <w:rsid w:val="006702F0"/>
    <w:rsid w:val="00680506"/>
    <w:rsid w:val="006842F3"/>
    <w:rsid w:val="00685C8D"/>
    <w:rsid w:val="00694B39"/>
    <w:rsid w:val="00696083"/>
    <w:rsid w:val="00696A4E"/>
    <w:rsid w:val="006A113C"/>
    <w:rsid w:val="006A2469"/>
    <w:rsid w:val="006A4B73"/>
    <w:rsid w:val="006B01FD"/>
    <w:rsid w:val="006B530C"/>
    <w:rsid w:val="006C0988"/>
    <w:rsid w:val="006C6815"/>
    <w:rsid w:val="006C72D9"/>
    <w:rsid w:val="006C7423"/>
    <w:rsid w:val="006D5462"/>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3E42"/>
    <w:rsid w:val="0079512D"/>
    <w:rsid w:val="00795DCC"/>
    <w:rsid w:val="00797D17"/>
    <w:rsid w:val="007A05D3"/>
    <w:rsid w:val="007A0A20"/>
    <w:rsid w:val="007A4103"/>
    <w:rsid w:val="007A70FB"/>
    <w:rsid w:val="007A7C84"/>
    <w:rsid w:val="007B0EAC"/>
    <w:rsid w:val="007B0F6C"/>
    <w:rsid w:val="007B3567"/>
    <w:rsid w:val="007B4FBB"/>
    <w:rsid w:val="007B76AC"/>
    <w:rsid w:val="007C0271"/>
    <w:rsid w:val="007C1550"/>
    <w:rsid w:val="007D0F82"/>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671E"/>
    <w:rsid w:val="00891028"/>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D7F82"/>
    <w:rsid w:val="008E17F2"/>
    <w:rsid w:val="008E182C"/>
    <w:rsid w:val="008E54E6"/>
    <w:rsid w:val="008E7974"/>
    <w:rsid w:val="008E7C52"/>
    <w:rsid w:val="008F1130"/>
    <w:rsid w:val="008F2EDD"/>
    <w:rsid w:val="008F31F4"/>
    <w:rsid w:val="008F41D2"/>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57E0F"/>
    <w:rsid w:val="00A6580F"/>
    <w:rsid w:val="00A84F05"/>
    <w:rsid w:val="00A8744A"/>
    <w:rsid w:val="00A93333"/>
    <w:rsid w:val="00AA59D4"/>
    <w:rsid w:val="00AA61D8"/>
    <w:rsid w:val="00AB0E14"/>
    <w:rsid w:val="00AB756F"/>
    <w:rsid w:val="00AB76A4"/>
    <w:rsid w:val="00AC031C"/>
    <w:rsid w:val="00AC1467"/>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1726F"/>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3854"/>
    <w:rsid w:val="00BA4253"/>
    <w:rsid w:val="00BA66B9"/>
    <w:rsid w:val="00BB0116"/>
    <w:rsid w:val="00BB3A99"/>
    <w:rsid w:val="00BB3D6D"/>
    <w:rsid w:val="00BD192E"/>
    <w:rsid w:val="00BD26BE"/>
    <w:rsid w:val="00BD32B4"/>
    <w:rsid w:val="00BD3AD0"/>
    <w:rsid w:val="00BD5C30"/>
    <w:rsid w:val="00BD7FCB"/>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829EF"/>
    <w:rsid w:val="00C82CA9"/>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1666"/>
    <w:rsid w:val="00CF478E"/>
    <w:rsid w:val="00CF47F1"/>
    <w:rsid w:val="00D02C53"/>
    <w:rsid w:val="00D03220"/>
    <w:rsid w:val="00D04DCA"/>
    <w:rsid w:val="00D14771"/>
    <w:rsid w:val="00D16263"/>
    <w:rsid w:val="00D16570"/>
    <w:rsid w:val="00D30149"/>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A7EC3"/>
    <w:rsid w:val="00DB3A69"/>
    <w:rsid w:val="00DB51E7"/>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020D"/>
    <w:rsid w:val="00E14C89"/>
    <w:rsid w:val="00E158AD"/>
    <w:rsid w:val="00E1789C"/>
    <w:rsid w:val="00E21E24"/>
    <w:rsid w:val="00E26605"/>
    <w:rsid w:val="00E267EB"/>
    <w:rsid w:val="00E26F71"/>
    <w:rsid w:val="00E3249F"/>
    <w:rsid w:val="00E34707"/>
    <w:rsid w:val="00E355A1"/>
    <w:rsid w:val="00E4466D"/>
    <w:rsid w:val="00E539DF"/>
    <w:rsid w:val="00E53F3F"/>
    <w:rsid w:val="00E605A8"/>
    <w:rsid w:val="00E63114"/>
    <w:rsid w:val="00E66468"/>
    <w:rsid w:val="00E66480"/>
    <w:rsid w:val="00E706D4"/>
    <w:rsid w:val="00E7159B"/>
    <w:rsid w:val="00E74C66"/>
    <w:rsid w:val="00E7576E"/>
    <w:rsid w:val="00E77752"/>
    <w:rsid w:val="00E84F48"/>
    <w:rsid w:val="00E86620"/>
    <w:rsid w:val="00E86B92"/>
    <w:rsid w:val="00E9282E"/>
    <w:rsid w:val="00EA792D"/>
    <w:rsid w:val="00EA7DA3"/>
    <w:rsid w:val="00EB0BEF"/>
    <w:rsid w:val="00EB2184"/>
    <w:rsid w:val="00EB3D76"/>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1B87"/>
    <w:rsid w:val="00F02679"/>
    <w:rsid w:val="00F0681D"/>
    <w:rsid w:val="00F074FB"/>
    <w:rsid w:val="00F117CE"/>
    <w:rsid w:val="00F26DB8"/>
    <w:rsid w:val="00F302A6"/>
    <w:rsid w:val="00F32ABC"/>
    <w:rsid w:val="00F42E2A"/>
    <w:rsid w:val="00F45A89"/>
    <w:rsid w:val="00F47112"/>
    <w:rsid w:val="00F514F7"/>
    <w:rsid w:val="00F6523C"/>
    <w:rsid w:val="00F67300"/>
    <w:rsid w:val="00F70D48"/>
    <w:rsid w:val="00F72AE0"/>
    <w:rsid w:val="00F7792D"/>
    <w:rsid w:val="00F81BB2"/>
    <w:rsid w:val="00F840F2"/>
    <w:rsid w:val="00F85E0D"/>
    <w:rsid w:val="00F86EB1"/>
    <w:rsid w:val="00F906B9"/>
    <w:rsid w:val="00FA53FA"/>
    <w:rsid w:val="00FA77B1"/>
    <w:rsid w:val="00FB0441"/>
    <w:rsid w:val="00FB14B7"/>
    <w:rsid w:val="00FB30B9"/>
    <w:rsid w:val="00FB5748"/>
    <w:rsid w:val="00FB6F6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15</Pages>
  <Words>4287</Words>
  <Characters>24437</Characters>
  <Application>Microsoft Office Word</Application>
  <DocSecurity>0</DocSecurity>
  <Lines>203</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310</cp:revision>
  <cp:lastPrinted>2026-03-25T08:05:00Z</cp:lastPrinted>
  <dcterms:created xsi:type="dcterms:W3CDTF">2023-03-15T16:11:00Z</dcterms:created>
  <dcterms:modified xsi:type="dcterms:W3CDTF">2026-03-25T08:08:00Z</dcterms:modified>
</cp:coreProperties>
</file>