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08AD" w14:textId="3D331F33" w:rsidR="00CB4686" w:rsidRDefault="00CB4686" w:rsidP="00CB4686">
      <w:pPr>
        <w:spacing w:after="120"/>
        <w:jc w:val="center"/>
        <w:rPr>
          <w:b/>
          <w:bCs/>
          <w:sz w:val="28"/>
          <w:lang w:eastAsia="ro-RO"/>
        </w:rPr>
      </w:pPr>
      <w:bookmarkStart w:id="0" w:name="_Hlk531607730"/>
      <w:r>
        <w:rPr>
          <w:b/>
          <w:bCs/>
          <w:sz w:val="28"/>
          <w:lang w:eastAsia="ro-RO"/>
        </w:rPr>
        <w:t xml:space="preserve">ANEXA </w:t>
      </w:r>
      <w:r w:rsidR="009B5DEB">
        <w:rPr>
          <w:b/>
          <w:bCs/>
          <w:sz w:val="28"/>
          <w:lang w:eastAsia="ro-RO"/>
        </w:rPr>
        <w:t>1</w:t>
      </w:r>
      <w:r>
        <w:rPr>
          <w:b/>
          <w:bCs/>
          <w:sz w:val="28"/>
          <w:lang w:eastAsia="ro-RO"/>
        </w:rPr>
        <w:t xml:space="preserve"> LA FISA DE DATE</w:t>
      </w:r>
    </w:p>
    <w:p w14:paraId="75B1BEAF" w14:textId="22267DBB" w:rsidR="00CB4686" w:rsidRDefault="005C2D9E" w:rsidP="005C2D9E">
      <w:pPr>
        <w:tabs>
          <w:tab w:val="left" w:pos="8385"/>
        </w:tabs>
        <w:spacing w:after="120"/>
        <w:jc w:val="both"/>
        <w:rPr>
          <w:b/>
          <w:bCs/>
          <w:sz w:val="28"/>
          <w:lang w:eastAsia="ro-RO"/>
        </w:rPr>
      </w:pPr>
      <w:r>
        <w:rPr>
          <w:b/>
          <w:bCs/>
          <w:sz w:val="28"/>
          <w:lang w:eastAsia="ro-RO"/>
        </w:rPr>
        <w:tab/>
      </w:r>
    </w:p>
    <w:p w14:paraId="5F723FD1" w14:textId="7D9B5F4B" w:rsidR="003307E7" w:rsidRPr="00FC554C" w:rsidRDefault="003307E7" w:rsidP="00341A80">
      <w:pPr>
        <w:spacing w:after="120"/>
        <w:jc w:val="both"/>
        <w:rPr>
          <w:b/>
          <w:bCs/>
          <w:sz w:val="28"/>
          <w:lang w:eastAsia="ro-RO"/>
        </w:rPr>
      </w:pPr>
      <w:r w:rsidRPr="00FC554C">
        <w:rPr>
          <w:b/>
          <w:bCs/>
          <w:sz w:val="28"/>
          <w:lang w:eastAsia="ro-RO"/>
        </w:rPr>
        <w:t xml:space="preserve">1. </w:t>
      </w:r>
      <w:r w:rsidR="005D6D5B" w:rsidRPr="005D6D5B">
        <w:rPr>
          <w:b/>
          <w:bCs/>
          <w:sz w:val="28"/>
          <w:szCs w:val="32"/>
          <w:lang w:eastAsia="ro-RO"/>
        </w:rPr>
        <w:t xml:space="preserve">Informatiile care vin in completarea celor din fisa de date </w:t>
      </w:r>
      <w:r w:rsidRPr="00FC554C">
        <w:rPr>
          <w:b/>
          <w:bCs/>
          <w:sz w:val="28"/>
          <w:szCs w:val="32"/>
          <w:lang w:eastAsia="ro-RO"/>
        </w:rPr>
        <w:t>privind „III.1.1.a) Situaţia personală a candidatului sau ofertantului</w:t>
      </w:r>
      <w:bookmarkEnd w:id="0"/>
      <w:r w:rsidRPr="00FC554C">
        <w:rPr>
          <w:b/>
          <w:bCs/>
          <w:sz w:val="28"/>
          <w:szCs w:val="32"/>
          <w:lang w:eastAsia="ro-RO"/>
        </w:rPr>
        <w:t>”</w:t>
      </w:r>
    </w:p>
    <w:p w14:paraId="5460C57D" w14:textId="77777777" w:rsidR="00FC554C" w:rsidRPr="009B5DEB" w:rsidRDefault="00FC554C" w:rsidP="001A0A09">
      <w:pPr>
        <w:spacing w:before="113" w:after="113"/>
        <w:jc w:val="both"/>
        <w:rPr>
          <w:b/>
          <w:color w:val="000000" w:themeColor="text1"/>
          <w:sz w:val="22"/>
        </w:rPr>
      </w:pPr>
      <w:bookmarkStart w:id="1" w:name="_Hlk10801201"/>
    </w:p>
    <w:bookmarkEnd w:id="1"/>
    <w:p w14:paraId="18947B30" w14:textId="77777777" w:rsidR="009B5DEB" w:rsidRPr="009B5DEB" w:rsidRDefault="009B5DEB" w:rsidP="009B5DEB">
      <w:pPr>
        <w:spacing w:before="113" w:after="113"/>
        <w:jc w:val="both"/>
        <w:rPr>
          <w:bCs/>
          <w:color w:val="000000" w:themeColor="text1"/>
          <w:sz w:val="22"/>
        </w:rPr>
      </w:pPr>
      <w:r w:rsidRPr="009B5DEB">
        <w:rPr>
          <w:bCs/>
          <w:color w:val="000000" w:themeColor="text1"/>
          <w:sz w:val="22"/>
        </w:rPr>
        <w:t>In conformitate cu art. 178 alin. (3) din Legea 99/2016 introdus prin OUG 3/2021  - „</w:t>
      </w:r>
      <w:r w:rsidRPr="009B5DEB">
        <w:rPr>
          <w:bCs/>
          <w:i/>
          <w:iCs/>
          <w:color w:val="000000" w:themeColor="text1"/>
          <w:sz w:val="22"/>
        </w:rPr>
        <w:t>Pentru respectarea prevederilor alin. (2), în etapa prevăzută la art. 205 alin. (2), operatorul economic prezintă pentru sediul principal documente din care să reiasă neîncadrarea în prevederile art. 178 alin. (1), iar pentru sediile secundare/punctele de lucru, o declaraţie pe propria răspundere privind îndeplinirea obligaţiilor de plată a impozitelor, taxelor sau contribuţiilor la bugetul general consolidat datorate.</w:t>
      </w:r>
      <w:r w:rsidRPr="009B5DEB">
        <w:rPr>
          <w:bCs/>
          <w:color w:val="000000" w:themeColor="text1"/>
          <w:sz w:val="22"/>
        </w:rPr>
        <w:t>"</w:t>
      </w:r>
    </w:p>
    <w:p w14:paraId="1346963D" w14:textId="77777777" w:rsidR="009B5DEB" w:rsidRPr="009B5DEB" w:rsidRDefault="009B5DEB" w:rsidP="009B5DEB">
      <w:pPr>
        <w:spacing w:before="113" w:after="113"/>
        <w:jc w:val="both"/>
        <w:rPr>
          <w:color w:val="000000" w:themeColor="text1"/>
          <w:sz w:val="22"/>
        </w:rPr>
      </w:pPr>
      <w:r w:rsidRPr="009B5DEB">
        <w:rPr>
          <w:color w:val="000000" w:themeColor="text1"/>
          <w:sz w:val="22"/>
        </w:rPr>
        <w:t xml:space="preserve">Nota 1: </w:t>
      </w:r>
    </w:p>
    <w:p w14:paraId="15FE65AC" w14:textId="77777777" w:rsidR="009B5DEB" w:rsidRPr="009B5DEB" w:rsidRDefault="009B5DEB" w:rsidP="009B5DEB">
      <w:pPr>
        <w:spacing w:before="113" w:after="113"/>
        <w:jc w:val="both"/>
        <w:rPr>
          <w:color w:val="000000" w:themeColor="text1"/>
          <w:sz w:val="22"/>
        </w:rPr>
      </w:pPr>
      <w:r w:rsidRPr="009B5DEB">
        <w:rPr>
          <w:color w:val="000000" w:themeColor="text1"/>
          <w:sz w:val="22"/>
        </w:rPr>
        <w:t>Orice operator economic aflat în oricare dintre situaţiile prevăzute la art. 177, 178 şi 180 din Legea 99/2016, care atrag excluderea din procedura de atribuire poate furniza dovezi care să arate că măsurile luate de acesta sunt suficiente pentru a-şi demonstra în concret credibilitatea prin raportare la motivele de excludere in conformitate cu prevederile art 184 din legea 99/2016. Masurile luate de Operatorul Economic trebuie sa fie explicit mentionate in DUAE, cu luarea în considerare de către Operatorii Economici a prevederilor art. 184, alin.(3) din Legea 99/2016. La solicitarea Entitatii Contractante, Operatorul Economic trebuie să prezinte dovezile concrete pentru masurile descrise in DUAE si implementate la nivelul Operatorului Economic in acest sens. Dovezile furnizate de Operatorul Economic pentru demonstrarea in mod concret a credibilitatii acestuia pentru situațiile de excludere trebuie sa corespunda descrierii furnizate in DUAE la rubrica aferenta descrierii masurilor de „autocorectare”.</w:t>
      </w:r>
    </w:p>
    <w:p w14:paraId="5B8F4436" w14:textId="77777777" w:rsidR="009B5DEB" w:rsidRPr="009B5DEB" w:rsidRDefault="009B5DEB" w:rsidP="009B5DEB">
      <w:pPr>
        <w:spacing w:before="113" w:after="113"/>
        <w:jc w:val="both"/>
        <w:rPr>
          <w:color w:val="000000" w:themeColor="text1"/>
          <w:sz w:val="22"/>
        </w:rPr>
      </w:pPr>
      <w:r w:rsidRPr="009B5DEB">
        <w:rPr>
          <w:color w:val="000000" w:themeColor="text1"/>
          <w:sz w:val="22"/>
        </w:rPr>
        <w:t>Nota 2:</w:t>
      </w:r>
    </w:p>
    <w:p w14:paraId="2238A575" w14:textId="77777777" w:rsidR="009B5DEB" w:rsidRPr="009B5DEB" w:rsidRDefault="009B5DEB" w:rsidP="009B5DEB">
      <w:pPr>
        <w:spacing w:before="113" w:after="113"/>
        <w:jc w:val="both"/>
        <w:rPr>
          <w:color w:val="000000" w:themeColor="text1"/>
          <w:sz w:val="22"/>
        </w:rPr>
      </w:pPr>
      <w:r w:rsidRPr="009B5DEB">
        <w:rPr>
          <w:color w:val="000000" w:themeColor="text1"/>
          <w:sz w:val="22"/>
        </w:rPr>
        <w:t>In conformitate cu OUG 114/2020, ART. II, pct. 12 (1) Entitatea contractantă exclude din procedura de atribuire orice operator economic despre care:</w:t>
      </w:r>
    </w:p>
    <w:p w14:paraId="72304B2C" w14:textId="77777777" w:rsidR="009B5DEB" w:rsidRPr="009B5DEB" w:rsidRDefault="009B5DEB" w:rsidP="009B5DEB">
      <w:pPr>
        <w:spacing w:before="113" w:after="113"/>
        <w:jc w:val="both"/>
        <w:rPr>
          <w:color w:val="000000" w:themeColor="text1"/>
          <w:sz w:val="22"/>
        </w:rPr>
      </w:pPr>
      <w:r w:rsidRPr="009B5DEB">
        <w:rPr>
          <w:color w:val="000000" w:themeColor="text1"/>
          <w:sz w:val="22"/>
        </w:rPr>
        <w:t>a) fie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w:t>
      </w:r>
    </w:p>
    <w:p w14:paraId="41C0D6BD" w14:textId="77777777" w:rsidR="009B5DEB" w:rsidRPr="009B5DEB" w:rsidRDefault="009B5DEB" w:rsidP="009B5DEB">
      <w:pPr>
        <w:spacing w:before="113" w:after="113"/>
        <w:jc w:val="both"/>
        <w:rPr>
          <w:color w:val="000000" w:themeColor="text1"/>
          <w:sz w:val="22"/>
        </w:rPr>
      </w:pPr>
      <w:r w:rsidRPr="009B5DEB">
        <w:rPr>
          <w:color w:val="000000" w:themeColor="text1"/>
          <w:sz w:val="22"/>
        </w:rPr>
        <w:t>b) fie poate demonstra prin orice mijloace adecvate că respectivul operator economic şi-a încălcat obligaţiile privind plata impozitelor, taxelor sau a contribuţiilor la bugetul general consolidat.</w:t>
      </w:r>
    </w:p>
    <w:p w14:paraId="1DFADEF6" w14:textId="77777777" w:rsidR="009B5DEB" w:rsidRPr="009B5DEB" w:rsidRDefault="009B5DEB" w:rsidP="009B5DEB">
      <w:pPr>
        <w:spacing w:before="113" w:after="113"/>
        <w:jc w:val="both"/>
        <w:rPr>
          <w:color w:val="000000" w:themeColor="text1"/>
          <w:sz w:val="22"/>
        </w:rPr>
      </w:pPr>
      <w:r w:rsidRPr="009B5DEB">
        <w:rPr>
          <w:color w:val="000000" w:themeColor="text1"/>
          <w:sz w:val="22"/>
        </w:rPr>
        <w:t xml:space="preserve">(2) Operatorul economic </w:t>
      </w:r>
      <w:r w:rsidRPr="009B5DEB">
        <w:rPr>
          <w:color w:val="000000" w:themeColor="text1"/>
          <w:sz w:val="22"/>
          <w:u w:val="single"/>
        </w:rPr>
        <w:t>nu este exclus din procedura de atribuire dacă</w:t>
      </w:r>
      <w:r w:rsidRPr="009B5DEB">
        <w:rPr>
          <w:color w:val="000000" w:themeColor="text1"/>
          <w:sz w:val="22"/>
        </w:rPr>
        <w:t>,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3C485617" w14:textId="77777777" w:rsidR="009B5DEB" w:rsidRPr="009B5DEB" w:rsidRDefault="009B5DEB" w:rsidP="009B5DEB">
      <w:pPr>
        <w:spacing w:before="113" w:after="113"/>
        <w:jc w:val="both"/>
        <w:rPr>
          <w:color w:val="000000" w:themeColor="text1"/>
          <w:sz w:val="22"/>
        </w:rPr>
      </w:pPr>
      <w:r w:rsidRPr="009B5DEB">
        <w:rPr>
          <w:color w:val="000000" w:themeColor="text1"/>
          <w:sz w:val="22"/>
        </w:rPr>
        <w:t>Nota 3: Înainte ca entitatea contractantă să excludă din procedură un candidat/ofertant care se află în situaţia prevăzută de art. 180 alin. (1) lit. f), aceasta va acorda respectivului candidat/ofertant posibilitatea de a demonstra că implicarea sa în pregătirea procedurii de achiziţie nu poate denatura concurenţa.</w:t>
      </w:r>
    </w:p>
    <w:p w14:paraId="3E1B7836" w14:textId="77777777" w:rsidR="009B5DEB" w:rsidRPr="009B5DEB" w:rsidRDefault="009B5DEB" w:rsidP="009B5DEB">
      <w:pPr>
        <w:spacing w:before="113" w:after="113"/>
        <w:jc w:val="both"/>
        <w:rPr>
          <w:color w:val="000000" w:themeColor="text1"/>
          <w:sz w:val="22"/>
        </w:rPr>
      </w:pPr>
      <w:r w:rsidRPr="009B5DEB">
        <w:rPr>
          <w:color w:val="000000" w:themeColor="text1"/>
          <w:sz w:val="22"/>
        </w:rPr>
        <w:t>Nota 4: Formularele si/sau documentele solicitate mai sus, vor fi prezentate de ofertantul clasat pe primul loc, de fiecare membru al asocierii (in cazul unei asocieri), si, daca e cazul, de catre subcontractant si de catre tertul sustinator.</w:t>
      </w:r>
    </w:p>
    <w:p w14:paraId="75A8A89C" w14:textId="77777777" w:rsidR="003307E7" w:rsidRDefault="003307E7" w:rsidP="00341A80">
      <w:pPr>
        <w:spacing w:after="120"/>
        <w:jc w:val="both"/>
        <w:rPr>
          <w:b/>
          <w:bCs/>
          <w:sz w:val="22"/>
          <w:szCs w:val="20"/>
          <w:lang w:eastAsia="ro-RO"/>
        </w:rPr>
      </w:pPr>
    </w:p>
    <w:sectPr w:rsidR="003307E7" w:rsidSect="006B15D0">
      <w:headerReference w:type="default" r:id="rId8"/>
      <w:footerReference w:type="default" r:id="rId9"/>
      <w:pgSz w:w="12240" w:h="15840"/>
      <w:pgMar w:top="794" w:right="567" w:bottom="737"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A151" w14:textId="77777777" w:rsidR="00070A95" w:rsidRDefault="00070A95" w:rsidP="00CB4686">
      <w:r>
        <w:separator/>
      </w:r>
    </w:p>
  </w:endnote>
  <w:endnote w:type="continuationSeparator" w:id="0">
    <w:p w14:paraId="3127E89C" w14:textId="77777777" w:rsidR="00070A95" w:rsidRDefault="00070A95" w:rsidP="00CB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856539"/>
      <w:docPartObj>
        <w:docPartGallery w:val="Page Numbers (Bottom of Page)"/>
        <w:docPartUnique/>
      </w:docPartObj>
    </w:sdtPr>
    <w:sdtContent>
      <w:sdt>
        <w:sdtPr>
          <w:id w:val="-1769616900"/>
          <w:docPartObj>
            <w:docPartGallery w:val="Page Numbers (Top of Page)"/>
            <w:docPartUnique/>
          </w:docPartObj>
        </w:sdtPr>
        <w:sdtContent>
          <w:p w14:paraId="3C502CD6" w14:textId="04EA618A" w:rsidR="005F6DA5" w:rsidRDefault="005F6DA5">
            <w:pPr>
              <w:pStyle w:val="Subsol"/>
              <w:jc w:val="right"/>
            </w:pPr>
            <w:r>
              <w:rPr>
                <w:b/>
                <w:bCs/>
              </w:rPr>
              <w:fldChar w:fldCharType="begin"/>
            </w:r>
            <w:r>
              <w:rPr>
                <w:b/>
                <w:bCs/>
              </w:rPr>
              <w:instrText xml:space="preserve"> PAGE </w:instrText>
            </w:r>
            <w:r>
              <w:rPr>
                <w:b/>
                <w:bCs/>
              </w:rPr>
              <w:fldChar w:fldCharType="separate"/>
            </w:r>
            <w:r>
              <w:rPr>
                <w:b/>
                <w:bCs/>
              </w:rPr>
              <w:t>2</w:t>
            </w:r>
            <w:r>
              <w:rPr>
                <w:b/>
                <w:bCs/>
              </w:rPr>
              <w:fldChar w:fldCharType="end"/>
            </w:r>
            <w:r>
              <w:t xml:space="preserve"> din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48209134" w14:textId="77777777" w:rsidR="005F6DA5" w:rsidRDefault="005F6DA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803" w14:textId="77777777" w:rsidR="00070A95" w:rsidRDefault="00070A95" w:rsidP="00CB4686">
      <w:r>
        <w:separator/>
      </w:r>
    </w:p>
  </w:footnote>
  <w:footnote w:type="continuationSeparator" w:id="0">
    <w:p w14:paraId="7D7FC506" w14:textId="77777777" w:rsidR="00070A95" w:rsidRDefault="00070A95" w:rsidP="00CB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019" w14:textId="35C6AEA3" w:rsidR="00EA3C34" w:rsidRPr="00EA3C34" w:rsidRDefault="00EA3C34" w:rsidP="00EA3C34">
    <w:pPr>
      <w:pStyle w:val="Antet"/>
      <w:tabs>
        <w:tab w:val="left" w:pos="-180"/>
      </w:tabs>
      <w:ind w:left="-180" w:right="-171"/>
      <w:rPr>
        <w:b/>
        <w:lang w:eastAsia="ro-RO"/>
      </w:rPr>
    </w:pPr>
    <w:r w:rsidRPr="00EA3C34">
      <w:rPr>
        <w:b/>
        <w:lang w:eastAsia="ro-RO"/>
      </w:rPr>
      <w:t xml:space="preserve">POLIMER CATIONIC </w:t>
    </w:r>
    <w:r w:rsidR="005C2D9E">
      <w:rPr>
        <w:b/>
        <w:lang w:eastAsia="ro-RO"/>
      </w:rPr>
      <w:t>EMULSIE PENTRU</w:t>
    </w:r>
    <w:r w:rsidRPr="00EA3C34">
      <w:rPr>
        <w:b/>
        <w:lang w:eastAsia="ro-RO"/>
      </w:rPr>
      <w:t xml:space="preserve"> DESHIDRATARE NAMOL IN STATI</w:t>
    </w:r>
    <w:r w:rsidR="005C2D9E">
      <w:rPr>
        <w:b/>
        <w:lang w:eastAsia="ro-RO"/>
      </w:rPr>
      <w:t>A</w:t>
    </w:r>
    <w:r w:rsidRPr="00EA3C34">
      <w:rPr>
        <w:b/>
        <w:lang w:eastAsia="ro-RO"/>
      </w:rPr>
      <w:t xml:space="preserve"> DE EPURARE</w:t>
    </w:r>
    <w:r w:rsidR="005C2D9E">
      <w:rPr>
        <w:b/>
        <w:lang w:eastAsia="ro-RO"/>
      </w:rPr>
      <w:t xml:space="preserve"> SIGHETU MARMATIEI</w:t>
    </w:r>
  </w:p>
  <w:p w14:paraId="2B92EDD6" w14:textId="78844CD4" w:rsidR="00CB4686" w:rsidRDefault="00CB4686" w:rsidP="00CB4686">
    <w:pPr>
      <w:pStyle w:val="Antet"/>
      <w:tabs>
        <w:tab w:val="left" w:pos="-180"/>
      </w:tabs>
      <w:ind w:left="-180" w:right="-171"/>
      <w:rPr>
        <w:lang w:eastAsia="ro-RO"/>
      </w:rPr>
    </w:pPr>
    <w:r>
      <w:rPr>
        <w:lang w:eastAsia="ro-RO"/>
      </w:rPr>
      <w:tab/>
      <w:t xml:space="preserve">                   </w:t>
    </w:r>
  </w:p>
  <w:p w14:paraId="3463FF53" w14:textId="77777777" w:rsidR="00CB4686" w:rsidRDefault="00CB4686" w:rsidP="00CB4686">
    <w:pPr>
      <w:pStyle w:val="Antet"/>
      <w:tabs>
        <w:tab w:val="left" w:pos="-180"/>
      </w:tabs>
      <w:ind w:left="-180" w:right="-171"/>
      <w:rPr>
        <w:lang w:eastAsia="ro-RO"/>
      </w:rPr>
    </w:pPr>
    <w:r>
      <w:rPr>
        <w:lang w:eastAsia="ro-RO"/>
      </w:rPr>
      <w:t xml:space="preserve">                                                                                                                                      </w:t>
    </w:r>
  </w:p>
  <w:p w14:paraId="6AAB8ADF" w14:textId="086CBA30" w:rsidR="00CB4686" w:rsidRDefault="00CB4686" w:rsidP="00CB4686">
    <w:pPr>
      <w:pStyle w:val="Antet"/>
      <w:tabs>
        <w:tab w:val="left" w:pos="-180"/>
      </w:tabs>
      <w:ind w:left="-180" w:right="-171"/>
    </w:pPr>
    <w:r>
      <w:rPr>
        <w:lang w:eastAsia="ro-RO"/>
      </w:rPr>
      <w:t xml:space="preserve">                                                                                                                                      </w:t>
    </w:r>
    <w:r>
      <w:rPr>
        <w:sz w:val="18"/>
        <w:szCs w:val="18"/>
        <w:lang w:val="it-IT"/>
      </w:rPr>
      <w:t>DOCUMENTAŢIE DE ATRIBUIRE</w:t>
    </w:r>
  </w:p>
  <w:p w14:paraId="51FB826C" w14:textId="77777777" w:rsidR="00CB4686" w:rsidRDefault="00CB4686" w:rsidP="00CB4686">
    <w:pPr>
      <w:pStyle w:val="Antet"/>
      <w:pBdr>
        <w:top w:val="none" w:sz="0" w:space="0" w:color="000000"/>
        <w:left w:val="none" w:sz="0" w:space="0" w:color="000000"/>
        <w:bottom w:val="single" w:sz="6" w:space="1" w:color="000000"/>
        <w:right w:val="none" w:sz="0" w:space="0" w:color="000000"/>
      </w:pBdr>
      <w:tabs>
        <w:tab w:val="left" w:pos="-180"/>
      </w:tabs>
      <w:ind w:left="-180" w:right="-171"/>
      <w:jc w:val="right"/>
    </w:pPr>
    <w:r>
      <w:rPr>
        <w:lang w:eastAsia="ro-RO"/>
      </w:rPr>
      <w:tab/>
    </w:r>
    <w:r>
      <w:rPr>
        <w:sz w:val="18"/>
        <w:szCs w:val="18"/>
        <w:lang w:val="it-IT"/>
      </w:rPr>
      <w:t xml:space="preserve"> Volumul I Instrucțiuni pentru ofertanți</w:t>
    </w:r>
  </w:p>
  <w:p w14:paraId="38C75B47" w14:textId="779D0A02" w:rsidR="00CB4686" w:rsidRDefault="00CB4686" w:rsidP="00CB4686">
    <w:pPr>
      <w:pStyle w:val="Antet"/>
      <w:pBdr>
        <w:top w:val="none" w:sz="0" w:space="0" w:color="000000"/>
        <w:left w:val="none" w:sz="0" w:space="0" w:color="000000"/>
        <w:bottom w:val="single" w:sz="6" w:space="1" w:color="000000"/>
        <w:right w:val="none" w:sz="0" w:space="0" w:color="000000"/>
      </w:pBdr>
      <w:tabs>
        <w:tab w:val="left" w:pos="-180"/>
      </w:tabs>
      <w:ind w:left="-180" w:right="-171"/>
      <w:jc w:val="right"/>
    </w:pPr>
    <w:r>
      <w:rPr>
        <w:sz w:val="18"/>
        <w:szCs w:val="18"/>
        <w:lang w:val="it-IT"/>
      </w:rPr>
      <w:t xml:space="preserve">ANEXA </w:t>
    </w:r>
    <w:r w:rsidR="00EA3C34">
      <w:rPr>
        <w:sz w:val="18"/>
        <w:szCs w:val="18"/>
        <w:lang w:val="it-IT"/>
      </w:rPr>
      <w:t>1</w:t>
    </w:r>
    <w:r>
      <w:rPr>
        <w:sz w:val="18"/>
        <w:szCs w:val="18"/>
        <w:lang w:val="it-IT"/>
      </w:rPr>
      <w:t xml:space="preserve"> LA FIŞA DE DATE A ACHIZIŢIEI</w:t>
    </w:r>
  </w:p>
  <w:p w14:paraId="40CD4CF7" w14:textId="77777777" w:rsidR="00CB4686" w:rsidRPr="00CB4686" w:rsidRDefault="00CB4686" w:rsidP="00CB468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F6A90"/>
    <w:multiLevelType w:val="hybridMultilevel"/>
    <w:tmpl w:val="A5F8B2D0"/>
    <w:lvl w:ilvl="0" w:tplc="D198456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15D94"/>
    <w:multiLevelType w:val="hybridMultilevel"/>
    <w:tmpl w:val="74124B0E"/>
    <w:lvl w:ilvl="0" w:tplc="651A2CAE">
      <w:start w:val="1"/>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034151">
    <w:abstractNumId w:val="1"/>
  </w:num>
  <w:num w:numId="2" w16cid:durableId="190436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B6"/>
    <w:rsid w:val="000212B3"/>
    <w:rsid w:val="00036D7C"/>
    <w:rsid w:val="00070A95"/>
    <w:rsid w:val="00086B7D"/>
    <w:rsid w:val="00093877"/>
    <w:rsid w:val="00095FB0"/>
    <w:rsid w:val="000C6237"/>
    <w:rsid w:val="000C64F5"/>
    <w:rsid w:val="000E4FC6"/>
    <w:rsid w:val="00120887"/>
    <w:rsid w:val="00126A78"/>
    <w:rsid w:val="001270E2"/>
    <w:rsid w:val="001303C7"/>
    <w:rsid w:val="00140E14"/>
    <w:rsid w:val="0014798F"/>
    <w:rsid w:val="00150471"/>
    <w:rsid w:val="001617AC"/>
    <w:rsid w:val="001828B6"/>
    <w:rsid w:val="001A0A09"/>
    <w:rsid w:val="001A7356"/>
    <w:rsid w:val="001B273F"/>
    <w:rsid w:val="001B364B"/>
    <w:rsid w:val="00211F29"/>
    <w:rsid w:val="00213DE4"/>
    <w:rsid w:val="002172B1"/>
    <w:rsid w:val="00222553"/>
    <w:rsid w:val="00231E0D"/>
    <w:rsid w:val="00242293"/>
    <w:rsid w:val="002429AF"/>
    <w:rsid w:val="00260DA3"/>
    <w:rsid w:val="00265585"/>
    <w:rsid w:val="0026586A"/>
    <w:rsid w:val="00270163"/>
    <w:rsid w:val="0028622B"/>
    <w:rsid w:val="002A0135"/>
    <w:rsid w:val="002C0965"/>
    <w:rsid w:val="002C7609"/>
    <w:rsid w:val="002E0E70"/>
    <w:rsid w:val="00301536"/>
    <w:rsid w:val="00303AE4"/>
    <w:rsid w:val="00303E55"/>
    <w:rsid w:val="0031507F"/>
    <w:rsid w:val="003307E7"/>
    <w:rsid w:val="003348BC"/>
    <w:rsid w:val="00341A80"/>
    <w:rsid w:val="00347AC5"/>
    <w:rsid w:val="00362DC2"/>
    <w:rsid w:val="0037695A"/>
    <w:rsid w:val="00380C9A"/>
    <w:rsid w:val="003A6CEA"/>
    <w:rsid w:val="003B5734"/>
    <w:rsid w:val="003C1E24"/>
    <w:rsid w:val="00410507"/>
    <w:rsid w:val="0045553B"/>
    <w:rsid w:val="004B5D50"/>
    <w:rsid w:val="004C1885"/>
    <w:rsid w:val="004C79D4"/>
    <w:rsid w:val="004D45F1"/>
    <w:rsid w:val="004E72B1"/>
    <w:rsid w:val="004F279F"/>
    <w:rsid w:val="0052190B"/>
    <w:rsid w:val="00522E11"/>
    <w:rsid w:val="00523428"/>
    <w:rsid w:val="005545A4"/>
    <w:rsid w:val="00590560"/>
    <w:rsid w:val="005A033A"/>
    <w:rsid w:val="005A367B"/>
    <w:rsid w:val="005B191F"/>
    <w:rsid w:val="005B2B2C"/>
    <w:rsid w:val="005B34BC"/>
    <w:rsid w:val="005B6144"/>
    <w:rsid w:val="005C2D9E"/>
    <w:rsid w:val="005C6D46"/>
    <w:rsid w:val="005C7BB8"/>
    <w:rsid w:val="005D6D5B"/>
    <w:rsid w:val="005D77C8"/>
    <w:rsid w:val="005E67D4"/>
    <w:rsid w:val="005E7992"/>
    <w:rsid w:val="005F1256"/>
    <w:rsid w:val="005F6DA5"/>
    <w:rsid w:val="00605EE4"/>
    <w:rsid w:val="0061722B"/>
    <w:rsid w:val="00644626"/>
    <w:rsid w:val="0067568F"/>
    <w:rsid w:val="006805EC"/>
    <w:rsid w:val="00681FAB"/>
    <w:rsid w:val="006B15D0"/>
    <w:rsid w:val="006C3487"/>
    <w:rsid w:val="006C72E5"/>
    <w:rsid w:val="007006E8"/>
    <w:rsid w:val="00711FD7"/>
    <w:rsid w:val="00740338"/>
    <w:rsid w:val="007426F9"/>
    <w:rsid w:val="00762F05"/>
    <w:rsid w:val="00763759"/>
    <w:rsid w:val="00777E70"/>
    <w:rsid w:val="00791191"/>
    <w:rsid w:val="007911E7"/>
    <w:rsid w:val="007A6EAF"/>
    <w:rsid w:val="007B74FA"/>
    <w:rsid w:val="007B7FF4"/>
    <w:rsid w:val="007F4EF0"/>
    <w:rsid w:val="00800172"/>
    <w:rsid w:val="00805558"/>
    <w:rsid w:val="008100C5"/>
    <w:rsid w:val="00813A84"/>
    <w:rsid w:val="00815FB7"/>
    <w:rsid w:val="00820ADE"/>
    <w:rsid w:val="00827542"/>
    <w:rsid w:val="00843A91"/>
    <w:rsid w:val="0085603B"/>
    <w:rsid w:val="00875EF3"/>
    <w:rsid w:val="008848A4"/>
    <w:rsid w:val="008A3C74"/>
    <w:rsid w:val="008E18D9"/>
    <w:rsid w:val="009322A4"/>
    <w:rsid w:val="00944EC7"/>
    <w:rsid w:val="009B5DEB"/>
    <w:rsid w:val="009C4E29"/>
    <w:rsid w:val="009D2794"/>
    <w:rsid w:val="009D2C86"/>
    <w:rsid w:val="009D4878"/>
    <w:rsid w:val="00A36C15"/>
    <w:rsid w:val="00A429A0"/>
    <w:rsid w:val="00A4486C"/>
    <w:rsid w:val="00A651E6"/>
    <w:rsid w:val="00A73EBE"/>
    <w:rsid w:val="00A74543"/>
    <w:rsid w:val="00A86B5D"/>
    <w:rsid w:val="00A95855"/>
    <w:rsid w:val="00AC2876"/>
    <w:rsid w:val="00AD12F2"/>
    <w:rsid w:val="00B013FB"/>
    <w:rsid w:val="00B03E3E"/>
    <w:rsid w:val="00B074D8"/>
    <w:rsid w:val="00B16C3B"/>
    <w:rsid w:val="00B30512"/>
    <w:rsid w:val="00B42585"/>
    <w:rsid w:val="00B535DD"/>
    <w:rsid w:val="00B63F1F"/>
    <w:rsid w:val="00B64A0D"/>
    <w:rsid w:val="00B71110"/>
    <w:rsid w:val="00BC13A4"/>
    <w:rsid w:val="00BE15C6"/>
    <w:rsid w:val="00BE7D8F"/>
    <w:rsid w:val="00C04BDC"/>
    <w:rsid w:val="00C34566"/>
    <w:rsid w:val="00C46EDF"/>
    <w:rsid w:val="00C55B34"/>
    <w:rsid w:val="00C76641"/>
    <w:rsid w:val="00C87F75"/>
    <w:rsid w:val="00C908BF"/>
    <w:rsid w:val="00C93272"/>
    <w:rsid w:val="00C96788"/>
    <w:rsid w:val="00CA31B5"/>
    <w:rsid w:val="00CB4686"/>
    <w:rsid w:val="00CC4B3D"/>
    <w:rsid w:val="00CC7D8A"/>
    <w:rsid w:val="00CF1F48"/>
    <w:rsid w:val="00D02271"/>
    <w:rsid w:val="00D02EF8"/>
    <w:rsid w:val="00D10978"/>
    <w:rsid w:val="00D25D62"/>
    <w:rsid w:val="00D46178"/>
    <w:rsid w:val="00D6052D"/>
    <w:rsid w:val="00D61CC4"/>
    <w:rsid w:val="00D6562A"/>
    <w:rsid w:val="00D7697B"/>
    <w:rsid w:val="00DA41D6"/>
    <w:rsid w:val="00DA776D"/>
    <w:rsid w:val="00DB4ACB"/>
    <w:rsid w:val="00DB4F7F"/>
    <w:rsid w:val="00DC5E70"/>
    <w:rsid w:val="00DD4789"/>
    <w:rsid w:val="00DD7297"/>
    <w:rsid w:val="00E24C25"/>
    <w:rsid w:val="00E41EF8"/>
    <w:rsid w:val="00E4550E"/>
    <w:rsid w:val="00E62C72"/>
    <w:rsid w:val="00E71534"/>
    <w:rsid w:val="00E92E96"/>
    <w:rsid w:val="00EA36AA"/>
    <w:rsid w:val="00EA3C34"/>
    <w:rsid w:val="00EB2EFF"/>
    <w:rsid w:val="00EB5B8F"/>
    <w:rsid w:val="00ED07CF"/>
    <w:rsid w:val="00ED2266"/>
    <w:rsid w:val="00EE00A0"/>
    <w:rsid w:val="00F2375A"/>
    <w:rsid w:val="00F25F8A"/>
    <w:rsid w:val="00F50CC0"/>
    <w:rsid w:val="00F56821"/>
    <w:rsid w:val="00F612BB"/>
    <w:rsid w:val="00F632E7"/>
    <w:rsid w:val="00F72776"/>
    <w:rsid w:val="00F76D08"/>
    <w:rsid w:val="00FA6931"/>
    <w:rsid w:val="00FB50CE"/>
    <w:rsid w:val="00FC554C"/>
    <w:rsid w:val="00FE6DDB"/>
    <w:rsid w:val="00FF4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1AB25"/>
  <w15:chartTrackingRefBased/>
  <w15:docId w15:val="{EC16F112-D623-40EF-B0D1-366E4F71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284" w:firstLine="56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965"/>
    <w:pPr>
      <w:suppressAutoHyphens/>
      <w:spacing w:line="240" w:lineRule="auto"/>
      <w:ind w:left="0" w:firstLine="0"/>
      <w:jc w:val="left"/>
    </w:pPr>
    <w:rPr>
      <w:rFonts w:ascii="Times New Roman" w:eastAsia="Times New Roman" w:hAnsi="Times New Roman" w:cs="Times New Roman"/>
      <w:noProof/>
      <w:sz w:val="24"/>
      <w:szCs w:val="24"/>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xmsonospacing">
    <w:name w:val="x_msonospacing"/>
    <w:basedOn w:val="Normal"/>
    <w:rsid w:val="00341A80"/>
    <w:pPr>
      <w:suppressAutoHyphens w:val="0"/>
      <w:spacing w:before="100" w:beforeAutospacing="1" w:after="100" w:afterAutospacing="1"/>
    </w:pPr>
    <w:rPr>
      <w:noProof w:val="0"/>
      <w:lang w:val="en-US" w:eastAsia="en-US"/>
    </w:rPr>
  </w:style>
  <w:style w:type="paragraph" w:customStyle="1" w:styleId="xmsonormal">
    <w:name w:val="x_msonormal"/>
    <w:basedOn w:val="Normal"/>
    <w:rsid w:val="003307E7"/>
    <w:pPr>
      <w:suppressAutoHyphens w:val="0"/>
    </w:pPr>
    <w:rPr>
      <w:rFonts w:ascii="Calibri" w:eastAsia="Calibri" w:hAnsi="Calibri" w:cs="Calibri"/>
      <w:noProof w:val="0"/>
      <w:sz w:val="22"/>
      <w:szCs w:val="22"/>
      <w:lang w:val="en-US" w:eastAsia="en-US"/>
    </w:rPr>
  </w:style>
  <w:style w:type="paragraph" w:styleId="Listparagraf">
    <w:name w:val="List Paragraph"/>
    <w:basedOn w:val="Normal"/>
    <w:uiPriority w:val="34"/>
    <w:qFormat/>
    <w:rsid w:val="00093877"/>
    <w:pPr>
      <w:ind w:left="720"/>
      <w:contextualSpacing/>
    </w:pPr>
  </w:style>
  <w:style w:type="paragraph" w:styleId="Antet">
    <w:name w:val="header"/>
    <w:basedOn w:val="Normal"/>
    <w:link w:val="AntetCaracter"/>
    <w:unhideWhenUsed/>
    <w:rsid w:val="00CB4686"/>
    <w:pPr>
      <w:tabs>
        <w:tab w:val="center" w:pos="4680"/>
        <w:tab w:val="right" w:pos="9360"/>
      </w:tabs>
    </w:pPr>
  </w:style>
  <w:style w:type="character" w:customStyle="1" w:styleId="AntetCaracter">
    <w:name w:val="Antet Caracter"/>
    <w:basedOn w:val="Fontdeparagrafimplicit"/>
    <w:link w:val="Antet"/>
    <w:uiPriority w:val="99"/>
    <w:rsid w:val="00CB4686"/>
    <w:rPr>
      <w:rFonts w:ascii="Times New Roman" w:eastAsia="Times New Roman" w:hAnsi="Times New Roman" w:cs="Times New Roman"/>
      <w:noProof/>
      <w:sz w:val="24"/>
      <w:szCs w:val="24"/>
      <w:lang w:val="ro-RO" w:eastAsia="ar-SA"/>
    </w:rPr>
  </w:style>
  <w:style w:type="paragraph" w:styleId="Subsol">
    <w:name w:val="footer"/>
    <w:basedOn w:val="Normal"/>
    <w:link w:val="SubsolCaracter"/>
    <w:uiPriority w:val="99"/>
    <w:unhideWhenUsed/>
    <w:rsid w:val="00CB4686"/>
    <w:pPr>
      <w:tabs>
        <w:tab w:val="center" w:pos="4680"/>
        <w:tab w:val="right" w:pos="9360"/>
      </w:tabs>
    </w:pPr>
  </w:style>
  <w:style w:type="character" w:customStyle="1" w:styleId="SubsolCaracter">
    <w:name w:val="Subsol Caracter"/>
    <w:basedOn w:val="Fontdeparagrafimplicit"/>
    <w:link w:val="Subsol"/>
    <w:uiPriority w:val="99"/>
    <w:rsid w:val="00CB4686"/>
    <w:rPr>
      <w:rFonts w:ascii="Times New Roman" w:eastAsia="Times New Roman" w:hAnsi="Times New Roman" w:cs="Times New Roman"/>
      <w:noProof/>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2266">
      <w:bodyDiv w:val="1"/>
      <w:marLeft w:val="0"/>
      <w:marRight w:val="0"/>
      <w:marTop w:val="0"/>
      <w:marBottom w:val="0"/>
      <w:divBdr>
        <w:top w:val="none" w:sz="0" w:space="0" w:color="auto"/>
        <w:left w:val="none" w:sz="0" w:space="0" w:color="auto"/>
        <w:bottom w:val="none" w:sz="0" w:space="0" w:color="auto"/>
        <w:right w:val="none" w:sz="0" w:space="0" w:color="auto"/>
      </w:divBdr>
    </w:div>
    <w:div w:id="689718862">
      <w:bodyDiv w:val="1"/>
      <w:marLeft w:val="0"/>
      <w:marRight w:val="0"/>
      <w:marTop w:val="0"/>
      <w:marBottom w:val="0"/>
      <w:divBdr>
        <w:top w:val="none" w:sz="0" w:space="0" w:color="auto"/>
        <w:left w:val="none" w:sz="0" w:space="0" w:color="auto"/>
        <w:bottom w:val="none" w:sz="0" w:space="0" w:color="auto"/>
        <w:right w:val="none" w:sz="0" w:space="0" w:color="auto"/>
      </w:divBdr>
    </w:div>
    <w:div w:id="1456484955">
      <w:bodyDiv w:val="1"/>
      <w:marLeft w:val="0"/>
      <w:marRight w:val="0"/>
      <w:marTop w:val="0"/>
      <w:marBottom w:val="0"/>
      <w:divBdr>
        <w:top w:val="none" w:sz="0" w:space="0" w:color="auto"/>
        <w:left w:val="none" w:sz="0" w:space="0" w:color="auto"/>
        <w:bottom w:val="none" w:sz="0" w:space="0" w:color="auto"/>
        <w:right w:val="none" w:sz="0" w:space="0" w:color="auto"/>
      </w:divBdr>
    </w:div>
    <w:div w:id="179675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2D28-C184-48EF-95C4-C34A0974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524</Words>
  <Characters>2991</Characters>
  <Application>Microsoft Office Word</Application>
  <DocSecurity>0</DocSecurity>
  <Lines>24</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Pantiru Catalin</dc:creator>
  <cp:keywords/>
  <dc:description/>
  <cp:lastModifiedBy>anca</cp:lastModifiedBy>
  <cp:revision>40</cp:revision>
  <cp:lastPrinted>2025-04-02T07:05:00Z</cp:lastPrinted>
  <dcterms:created xsi:type="dcterms:W3CDTF">2022-08-04T05:27:00Z</dcterms:created>
  <dcterms:modified xsi:type="dcterms:W3CDTF">2026-03-19T07:26:00Z</dcterms:modified>
</cp:coreProperties>
</file>