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8A48" w14:textId="77777777" w:rsidR="00753F03" w:rsidRPr="00986C6C" w:rsidRDefault="00753F03" w:rsidP="00986C6C">
      <w:pPr>
        <w:pStyle w:val="Default"/>
        <w:spacing w:line="276" w:lineRule="auto"/>
        <w:ind w:right="146"/>
        <w:jc w:val="center"/>
        <w:rPr>
          <w:b/>
          <w:sz w:val="22"/>
          <w:szCs w:val="22"/>
        </w:rPr>
      </w:pPr>
      <w:r w:rsidRPr="00986C6C">
        <w:rPr>
          <w:b/>
          <w:sz w:val="22"/>
          <w:szCs w:val="22"/>
        </w:rPr>
        <w:t>Completari FDA</w:t>
      </w:r>
    </w:p>
    <w:p w14:paraId="7A0C8C41" w14:textId="77777777" w:rsidR="00F84DF7" w:rsidRPr="00986C6C" w:rsidRDefault="00F84DF7" w:rsidP="00986C6C">
      <w:pPr>
        <w:pStyle w:val="Default"/>
        <w:spacing w:line="276" w:lineRule="auto"/>
        <w:ind w:right="146"/>
        <w:jc w:val="center"/>
        <w:rPr>
          <w:b/>
          <w:sz w:val="22"/>
          <w:szCs w:val="22"/>
        </w:rPr>
      </w:pPr>
    </w:p>
    <w:p w14:paraId="5C14CB4B" w14:textId="5E83A759" w:rsidR="00F84DF7" w:rsidRPr="00986C6C" w:rsidRDefault="00420778" w:rsidP="00420778">
      <w:pPr>
        <w:spacing w:line="276" w:lineRule="auto"/>
        <w:jc w:val="center"/>
        <w:rPr>
          <w:rFonts w:ascii="Times New Roman" w:hAnsi="Times New Roman" w:cs="Times New Roman"/>
          <w:b/>
          <w:i/>
          <w:iCs/>
          <w:lang w:val="ro-RO"/>
        </w:rPr>
      </w:pPr>
      <w:r w:rsidRPr="00420778">
        <w:rPr>
          <w:rFonts w:ascii="Times New Roman" w:eastAsia="Times New Roman" w:hAnsi="Times New Roman" w:cs="Times New Roman"/>
          <w:b/>
          <w:color w:val="000000"/>
          <w:lang w:val="ro-RO" w:eastAsia="ro-RO"/>
        </w:rPr>
        <w:t xml:space="preserve">MODERNIZARE SI INTEGRARE IN SCADA STATII DE TRANSFORMARE DIN GESTIUNEA DELGAZ GRID – ETAPA 4 </w:t>
      </w:r>
      <w:r w:rsidR="003408D1">
        <w:rPr>
          <w:rFonts w:ascii="Times New Roman" w:eastAsia="Times New Roman" w:hAnsi="Times New Roman" w:cs="Times New Roman"/>
          <w:b/>
          <w:color w:val="000000"/>
          <w:lang w:val="ro-RO" w:eastAsia="ro-RO"/>
        </w:rPr>
        <w:t>-jud. Neamt</w:t>
      </w:r>
      <w:r w:rsidRPr="00420778">
        <w:rPr>
          <w:rFonts w:ascii="Times New Roman" w:eastAsia="Times New Roman" w:hAnsi="Times New Roman" w:cs="Times New Roman"/>
          <w:b/>
          <w:color w:val="000000"/>
          <w:lang w:val="ro-RO" w:eastAsia="ro-RO"/>
        </w:rPr>
        <w:t>, respectiv elaborare documentatie tehnica faza DTAC+ PTH+DDE, furnizare produse și execuție lucrări, întocmire documentație As Built, conform proiect nr 22/2023- faza SF</w:t>
      </w:r>
    </w:p>
    <w:p w14:paraId="57CDEBD1" w14:textId="17A3AF98" w:rsidR="007705AC" w:rsidRPr="00986C6C" w:rsidRDefault="007705AC" w:rsidP="00986C6C">
      <w:pPr>
        <w:spacing w:line="276" w:lineRule="auto"/>
        <w:jc w:val="center"/>
        <w:rPr>
          <w:rFonts w:ascii="Times New Roman" w:hAnsi="Times New Roman" w:cs="Times New Roman"/>
          <w:b/>
          <w:lang w:val="ro-RO"/>
        </w:rPr>
      </w:pPr>
      <w:r w:rsidRPr="00986C6C">
        <w:rPr>
          <w:rFonts w:ascii="Times New Roman" w:hAnsi="Times New Roman" w:cs="Times New Roman"/>
          <w:b/>
          <w:lang w:val="ro-RO"/>
        </w:rPr>
        <w:t>Avand in vedere limitele impuse de Jurnalul Oficial al Uniunii Europene privind numarul de caractere</w:t>
      </w:r>
      <w:r w:rsidR="00DB0EF7" w:rsidRPr="00986C6C">
        <w:rPr>
          <w:rFonts w:ascii="Times New Roman" w:hAnsi="Times New Roman" w:cs="Times New Roman"/>
          <w:b/>
          <w:lang w:val="ro-RO"/>
        </w:rPr>
        <w:t xml:space="preserve"> folosite, detaliem mai jos </w:t>
      </w:r>
      <w:r w:rsidRPr="00986C6C">
        <w:rPr>
          <w:rFonts w:ascii="Times New Roman" w:hAnsi="Times New Roman" w:cs="Times New Roman"/>
          <w:b/>
          <w:lang w:val="ro-RO"/>
        </w:rPr>
        <w:t xml:space="preserve"> </w:t>
      </w:r>
      <w:r w:rsidR="009A632E" w:rsidRPr="00986C6C">
        <w:rPr>
          <w:rFonts w:ascii="Times New Roman" w:hAnsi="Times New Roman" w:cs="Times New Roman"/>
          <w:b/>
          <w:lang w:val="ro-RO"/>
        </w:rPr>
        <w:t>o parte din cerintele fisei de date.</w:t>
      </w:r>
    </w:p>
    <w:p w14:paraId="3B86559C" w14:textId="77777777" w:rsidR="006F20D4" w:rsidRPr="00986C6C" w:rsidRDefault="006F20D4" w:rsidP="00986C6C">
      <w:pPr>
        <w:spacing w:line="276" w:lineRule="auto"/>
        <w:jc w:val="center"/>
        <w:rPr>
          <w:rFonts w:ascii="Times New Roman" w:hAnsi="Times New Roman" w:cs="Times New Roman"/>
          <w:b/>
          <w:lang w:val="ro-RO"/>
        </w:rPr>
      </w:pPr>
    </w:p>
    <w:p w14:paraId="33C2B69C" w14:textId="3BC21209" w:rsidR="00B745AB" w:rsidRPr="00420778" w:rsidRDefault="004C76FD" w:rsidP="00E619A3">
      <w:pPr>
        <w:pStyle w:val="ListParagraph"/>
        <w:numPr>
          <w:ilvl w:val="0"/>
          <w:numId w:val="13"/>
        </w:numPr>
        <w:tabs>
          <w:tab w:val="left" w:pos="810"/>
        </w:tabs>
        <w:spacing w:line="276" w:lineRule="auto"/>
        <w:jc w:val="both"/>
        <w:rPr>
          <w:rFonts w:ascii="Times New Roman" w:hAnsi="Times New Roman" w:cs="Times New Roman"/>
          <w:highlight w:val="lightGray"/>
          <w:u w:val="single"/>
          <w:lang w:val="pt-BR"/>
        </w:rPr>
      </w:pPr>
      <w:r w:rsidRPr="00420778">
        <w:rPr>
          <w:rFonts w:ascii="Times New Roman" w:eastAsia="Times New Roman" w:hAnsi="Times New Roman" w:cs="Times New Roman"/>
          <w:b/>
          <w:bCs/>
          <w:highlight w:val="lightGray"/>
          <w:u w:val="single"/>
          <w:lang w:val="pt-BR"/>
        </w:rPr>
        <w:t>Cap. III 1.1 a “Situatia personala a candidatului sau ofertantului”, din FDA, se completeaza cu urmatoarele precizari:</w:t>
      </w:r>
    </w:p>
    <w:p w14:paraId="66C92896" w14:textId="77777777" w:rsidR="006B6E58" w:rsidRPr="00420778" w:rsidRDefault="006B6E58" w:rsidP="00986C6C">
      <w:pPr>
        <w:spacing w:line="276" w:lineRule="auto"/>
        <w:rPr>
          <w:rFonts w:ascii="Times New Roman" w:hAnsi="Times New Roman" w:cs="Times New Roman"/>
          <w:b/>
          <w:bCs/>
          <w:lang w:val="pt-BR"/>
        </w:rPr>
      </w:pPr>
      <w:r w:rsidRPr="00420778">
        <w:rPr>
          <w:rFonts w:ascii="Times New Roman" w:hAnsi="Times New Roman" w:cs="Times New Roman"/>
          <w:b/>
          <w:bCs/>
          <w:lang w:val="pt-BR"/>
        </w:rPr>
        <w:t>Cerinta 1. Situatia personala a Ofertantului</w:t>
      </w:r>
    </w:p>
    <w:p w14:paraId="4E26E566" w14:textId="77777777" w:rsidR="006B6E58" w:rsidRPr="00420778" w:rsidRDefault="006B6E58" w:rsidP="00986C6C">
      <w:pPr>
        <w:spacing w:line="276" w:lineRule="auto"/>
        <w:jc w:val="both"/>
        <w:rPr>
          <w:rFonts w:ascii="Times New Roman" w:hAnsi="Times New Roman" w:cs="Times New Roman"/>
          <w:lang w:val="pt-BR"/>
        </w:rPr>
      </w:pPr>
      <w:r w:rsidRPr="00420778">
        <w:rPr>
          <w:rFonts w:ascii="Times New Roman" w:hAnsi="Times New Roman" w:cs="Times New Roman"/>
          <w:lang w:val="pt-BR"/>
        </w:rPr>
        <w:t>Operatorii economici (Ofertant individual, membru al Asocierii, Subcontractant, Terț Susținător) nu trebuie sa se regăsească in nici una din situațiile prevăzute la art. 177, 178 si 180 din Legea nr. 99/2016 cu modificările si completările ulterioare.</w:t>
      </w:r>
    </w:p>
    <w:p w14:paraId="453B4AE7" w14:textId="77777777" w:rsidR="006B6E58" w:rsidRPr="00420778" w:rsidRDefault="006B6E58" w:rsidP="00986C6C">
      <w:pPr>
        <w:spacing w:line="276" w:lineRule="auto"/>
        <w:jc w:val="both"/>
        <w:rPr>
          <w:rFonts w:ascii="Times New Roman" w:hAnsi="Times New Roman" w:cs="Times New Roman"/>
          <w:lang w:val="pt-BR"/>
        </w:rPr>
      </w:pPr>
      <w:r w:rsidRPr="00420778">
        <w:rPr>
          <w:rFonts w:ascii="Times New Roman" w:hAnsi="Times New Roman" w:cs="Times New Roman"/>
          <w:b/>
          <w:bCs/>
          <w:lang w:val="pt-BR"/>
        </w:rPr>
        <w:t>Cerinta 2. Operatorii economici nu trebuie sa se afle in situatiile prevazute la art. 73 (evitarea conflictului de interese) din Legea nr. 99/2016</w:t>
      </w:r>
      <w:r w:rsidRPr="00420778">
        <w:rPr>
          <w:rFonts w:ascii="Times New Roman" w:hAnsi="Times New Roman" w:cs="Times New Roman"/>
          <w:lang w:val="pt-BR"/>
        </w:rPr>
        <w:t>.</w:t>
      </w:r>
    </w:p>
    <w:p w14:paraId="1E0268E3" w14:textId="24D5E234" w:rsidR="0075309A" w:rsidRPr="00420778" w:rsidRDefault="006B6E58" w:rsidP="00986C6C">
      <w:pPr>
        <w:spacing w:line="276" w:lineRule="auto"/>
        <w:jc w:val="both"/>
        <w:rPr>
          <w:rFonts w:ascii="Times New Roman" w:hAnsi="Times New Roman" w:cs="Times New Roman"/>
          <w:lang w:val="pt-BR"/>
        </w:rPr>
      </w:pPr>
      <w:r w:rsidRPr="00420778">
        <w:rPr>
          <w:rFonts w:ascii="Times New Roman" w:hAnsi="Times New Roman" w:cs="Times New Roman"/>
          <w:lang w:val="pt-BR"/>
        </w:rPr>
        <w:t>In situația in care operatorul economic (ofertant/ofertant asociat/ subcontractant/ terț susținător) se afla într-una din situațiile prevăzute de 73 din Legea nr. 99/2016 privind achizițiile sectoriale, acesta va fi exclus de la procedura de atribuire, oferta fiind respinsa</w:t>
      </w:r>
      <w:r w:rsidR="00834CC3">
        <w:rPr>
          <w:rFonts w:ascii="Times New Roman" w:hAnsi="Times New Roman" w:cs="Times New Roman"/>
          <w:lang w:val="pt-BR"/>
        </w:rPr>
        <w:t xml:space="preserve">. </w:t>
      </w:r>
      <w:r w:rsidR="0075309A" w:rsidRPr="00420778">
        <w:rPr>
          <w:rFonts w:ascii="Times New Roman" w:hAnsi="Times New Roman" w:cs="Times New Roman"/>
          <w:lang w:val="pt-BR"/>
        </w:rPr>
        <w:t>Ca dovadă preliminară pentru verificarea motivelor de excludere, Operatorul Economic (</w:t>
      </w:r>
      <w:r w:rsidR="000B58AA" w:rsidRPr="00420778">
        <w:rPr>
          <w:rFonts w:ascii="Times New Roman" w:hAnsi="Times New Roman" w:cs="Times New Roman"/>
          <w:lang w:val="pt-BR"/>
        </w:rPr>
        <w:t>Ofertant</w:t>
      </w:r>
      <w:r w:rsidR="0075309A" w:rsidRPr="00420778">
        <w:rPr>
          <w:rFonts w:ascii="Times New Roman" w:hAnsi="Times New Roman" w:cs="Times New Roman"/>
          <w:lang w:val="pt-BR"/>
        </w:rPr>
        <w:t xml:space="preserve"> individual, membru al unei Asocieri, Subcontractant, Terț Susținător) trebuie să prezinte o declaratie pe proprie raspundere completata si semnata reprezentata de documentul DUAE (răspuns).</w:t>
      </w:r>
    </w:p>
    <w:p w14:paraId="153A8800" w14:textId="77777777" w:rsidR="00F0071C" w:rsidRPr="00420778" w:rsidRDefault="00F0071C" w:rsidP="00986C6C">
      <w:pPr>
        <w:spacing w:line="276" w:lineRule="auto"/>
        <w:jc w:val="both"/>
        <w:rPr>
          <w:rFonts w:ascii="Times New Roman" w:hAnsi="Times New Roman" w:cs="Times New Roman"/>
          <w:b/>
          <w:bCs/>
          <w:lang w:val="pt-BR"/>
        </w:rPr>
      </w:pPr>
      <w:r w:rsidRPr="00420778">
        <w:rPr>
          <w:rFonts w:ascii="Times New Roman" w:hAnsi="Times New Roman" w:cs="Times New Roman"/>
          <w:b/>
          <w:bCs/>
          <w:lang w:val="pt-BR"/>
        </w:rPr>
        <w:t xml:space="preserve">Modalitatea de indeplinire: </w:t>
      </w:r>
    </w:p>
    <w:p w14:paraId="018020E0" w14:textId="77777777" w:rsidR="00F0071C" w:rsidRPr="00420778" w:rsidRDefault="00F0071C" w:rsidP="00986C6C">
      <w:pPr>
        <w:spacing w:line="276" w:lineRule="auto"/>
        <w:jc w:val="both"/>
        <w:rPr>
          <w:rFonts w:ascii="Times New Roman" w:hAnsi="Times New Roman" w:cs="Times New Roman"/>
          <w:lang w:val="pt-BR"/>
        </w:rPr>
      </w:pPr>
      <w:r w:rsidRPr="00420778">
        <w:rPr>
          <w:rFonts w:ascii="Times New Roman" w:hAnsi="Times New Roman" w:cs="Times New Roman"/>
          <w:lang w:val="pt-BR"/>
        </w:rPr>
        <w:t xml:space="preserve">Se completeaza DUAE de catre operatorii economici (inclusiv de catre asociati/subcontractanti, terti sustinatori), conform “NOTIFICARE referitoare la utilizarea Documentului Unic de Achiziții European (DUAE), astfel cum a fost acesta integrat în Sistemul Electronic de Achiziții Publice (SEAP)”, respectiv: </w:t>
      </w:r>
    </w:p>
    <w:p w14:paraId="7D86F9CA" w14:textId="794DC51B" w:rsidR="00F0071C" w:rsidRPr="00420778" w:rsidRDefault="00F0071C" w:rsidP="00986C6C">
      <w:pPr>
        <w:spacing w:line="276" w:lineRule="auto"/>
        <w:jc w:val="both"/>
        <w:rPr>
          <w:rFonts w:ascii="Times New Roman" w:hAnsi="Times New Roman" w:cs="Times New Roman"/>
          <w:lang w:val="pt-BR"/>
        </w:rPr>
      </w:pPr>
      <w:r w:rsidRPr="00420778">
        <w:rPr>
          <w:rFonts w:ascii="Times New Roman" w:hAnsi="Times New Roman" w:cs="Times New Roman"/>
          <w:lang w:val="pt-BR"/>
        </w:rPr>
        <w:t>-</w:t>
      </w:r>
      <w:r w:rsidRPr="00420778">
        <w:rPr>
          <w:rFonts w:ascii="Times New Roman" w:hAnsi="Times New Roman" w:cs="Times New Roman"/>
          <w:lang w:val="pt-BR"/>
        </w:rPr>
        <w:tab/>
        <w:t>DUAE aferent procedurii de atribuire va fi completat de către operatorii economici direct în SEAP, după autentificare, ținând cont de calitatea în care aceștia participă la procedura de atribuire în discuție, respectiv de candidat/ofertant unic/asociere (lider/ofertant asociat)/ subcontractant/terț susținător (conform Ghidului de utilizare DUAE ofertant publicat de către Agenția pentru Agenda Digitală a României)</w:t>
      </w:r>
    </w:p>
    <w:p w14:paraId="3E29AF16" w14:textId="77777777" w:rsidR="00F0071C" w:rsidRPr="00420778" w:rsidRDefault="00F0071C" w:rsidP="00986C6C">
      <w:pPr>
        <w:spacing w:line="276" w:lineRule="auto"/>
        <w:jc w:val="both"/>
        <w:rPr>
          <w:rFonts w:ascii="Times New Roman" w:hAnsi="Times New Roman" w:cs="Times New Roman"/>
          <w:lang w:val="pt-BR"/>
        </w:rPr>
      </w:pPr>
      <w:r w:rsidRPr="00420778">
        <w:rPr>
          <w:rFonts w:ascii="Times New Roman" w:hAnsi="Times New Roman" w:cs="Times New Roman"/>
          <w:lang w:val="pt-BR"/>
        </w:rPr>
        <w:t>Documentele justificative care probeaza indeplinirea celor asumate prin completarea DUAE sunt solicitate de catre entitatea contractanta doar de la primul clasat, dupa aplicarea criteriului de atribuire asupra ofertelor admisibile conform art. 205 alin. (2).</w:t>
      </w:r>
    </w:p>
    <w:p w14:paraId="602EA20D" w14:textId="77777777" w:rsidR="00F0071C" w:rsidRPr="00420778" w:rsidRDefault="00F0071C" w:rsidP="00986C6C">
      <w:pPr>
        <w:spacing w:line="276" w:lineRule="auto"/>
        <w:jc w:val="both"/>
        <w:rPr>
          <w:rFonts w:ascii="Times New Roman" w:hAnsi="Times New Roman" w:cs="Times New Roman"/>
          <w:lang w:val="pt-BR"/>
        </w:rPr>
      </w:pPr>
      <w:r w:rsidRPr="00420778">
        <w:rPr>
          <w:rFonts w:ascii="Times New Roman" w:hAnsi="Times New Roman" w:cs="Times New Roman"/>
          <w:lang w:val="pt-BR"/>
        </w:rPr>
        <w:t>Ofertantul va prezenta documente justificative actualizate si valabile la momentul prezentării prin care să demonstreze îndeplinirea tuturor criteriilor de calificare, în conformitate cu informațiile cuprinse în DUAE.</w:t>
      </w:r>
    </w:p>
    <w:p w14:paraId="780BBC5D" w14:textId="77777777" w:rsidR="00F0071C" w:rsidRPr="00420778" w:rsidRDefault="00F0071C" w:rsidP="00986C6C">
      <w:pPr>
        <w:spacing w:line="276" w:lineRule="auto"/>
        <w:jc w:val="both"/>
        <w:rPr>
          <w:rFonts w:ascii="Times New Roman" w:hAnsi="Times New Roman" w:cs="Times New Roman"/>
          <w:lang w:val="pt-BR"/>
        </w:rPr>
      </w:pPr>
      <w:r w:rsidRPr="00420778">
        <w:rPr>
          <w:rFonts w:ascii="Times New Roman" w:hAnsi="Times New Roman" w:cs="Times New Roman"/>
          <w:lang w:val="pt-BR"/>
        </w:rPr>
        <w:lastRenderedPageBreak/>
        <w:t>Cerința de a prezenta documente justificative actualizate este aplicabilă tuturor Operatorilor Economici, declarați in oferta si care au legătură cu ofertantul clasat pe primul loc în această procedură.</w:t>
      </w:r>
    </w:p>
    <w:p w14:paraId="75462E59" w14:textId="77777777" w:rsidR="00F0071C" w:rsidRPr="00420778" w:rsidRDefault="00F0071C" w:rsidP="00986C6C">
      <w:pPr>
        <w:spacing w:line="276" w:lineRule="auto"/>
        <w:jc w:val="both"/>
        <w:rPr>
          <w:rFonts w:ascii="Times New Roman" w:hAnsi="Times New Roman" w:cs="Times New Roman"/>
          <w:lang w:val="pt-BR"/>
        </w:rPr>
      </w:pPr>
    </w:p>
    <w:p w14:paraId="538F0CC0" w14:textId="4C08283A" w:rsidR="0075309A" w:rsidRPr="00420778" w:rsidRDefault="0075309A" w:rsidP="00986C6C">
      <w:pPr>
        <w:spacing w:line="276" w:lineRule="auto"/>
        <w:jc w:val="both"/>
        <w:rPr>
          <w:rFonts w:ascii="Times New Roman" w:hAnsi="Times New Roman" w:cs="Times New Roman"/>
          <w:b/>
          <w:bCs/>
          <w:lang w:val="pt-BR"/>
        </w:rPr>
      </w:pPr>
      <w:r w:rsidRPr="00420778">
        <w:rPr>
          <w:rFonts w:ascii="Times New Roman" w:hAnsi="Times New Roman" w:cs="Times New Roman"/>
          <w:b/>
          <w:bCs/>
          <w:lang w:val="pt-BR"/>
        </w:rPr>
        <w:t xml:space="preserve">Documentele </w:t>
      </w:r>
      <w:r w:rsidR="00815049" w:rsidRPr="00420778">
        <w:rPr>
          <w:rFonts w:ascii="Times New Roman" w:hAnsi="Times New Roman" w:cs="Times New Roman"/>
          <w:b/>
          <w:bCs/>
          <w:lang w:val="pt-BR"/>
        </w:rPr>
        <w:t>justificative</w:t>
      </w:r>
      <w:r w:rsidRPr="00420778">
        <w:rPr>
          <w:rFonts w:ascii="Times New Roman" w:hAnsi="Times New Roman" w:cs="Times New Roman"/>
          <w:b/>
          <w:bCs/>
          <w:lang w:val="pt-BR"/>
        </w:rPr>
        <w:t xml:space="preserve"> includ, dar nu se limitează la:</w:t>
      </w:r>
    </w:p>
    <w:p w14:paraId="31E8FDFD" w14:textId="1AB2CCDD" w:rsidR="0075309A" w:rsidRPr="00420778" w:rsidRDefault="00E948C6" w:rsidP="00986C6C">
      <w:pPr>
        <w:spacing w:line="276" w:lineRule="auto"/>
        <w:jc w:val="both"/>
        <w:rPr>
          <w:rFonts w:ascii="Times New Roman" w:hAnsi="Times New Roman" w:cs="Times New Roman"/>
          <w:lang w:val="pt-BR"/>
        </w:rPr>
      </w:pPr>
      <w:r w:rsidRPr="00420778">
        <w:rPr>
          <w:rFonts w:ascii="Times New Roman" w:hAnsi="Times New Roman" w:cs="Times New Roman"/>
          <w:lang w:val="pt-BR"/>
        </w:rPr>
        <w:t xml:space="preserve">- </w:t>
      </w:r>
      <w:r w:rsidR="0075309A" w:rsidRPr="00420778">
        <w:rPr>
          <w:rFonts w:ascii="Times New Roman" w:hAnsi="Times New Roman" w:cs="Times New Roman"/>
          <w:lang w:val="pt-BR"/>
        </w:rPr>
        <w:t xml:space="preserve"> caziere judiciare (cazierul judiciar al Operatorului Economic precum si, dupa caz, al membrilor organului de administrare, de conducere sau de supraveghere al Operatorului Economic sau al persoanelor care au putere de reprezentare, de decizie sau de control în cadrul acestuia, așa cum sunt identificate aceste persoane în Certificatul Constatator al Operatorului Economic eliberat de registrul profesional sau registrul comerțului din țara în care este stabilit Operatorul Economic, respectiv toti membrii care, potrivit Certificatului constatator, figurează la nivelul formularului drept persoane fizice si/sau juridice împuternicite precum si ca organe de control);</w:t>
      </w:r>
    </w:p>
    <w:p w14:paraId="52649D63" w14:textId="7B4E9045" w:rsidR="0075309A" w:rsidRPr="00420778" w:rsidRDefault="00686094" w:rsidP="00986C6C">
      <w:pPr>
        <w:spacing w:line="276" w:lineRule="auto"/>
        <w:jc w:val="both"/>
        <w:rPr>
          <w:rFonts w:ascii="Times New Roman" w:hAnsi="Times New Roman" w:cs="Times New Roman"/>
          <w:lang w:val="pt-BR"/>
        </w:rPr>
      </w:pPr>
      <w:r w:rsidRPr="00024002">
        <w:rPr>
          <w:rFonts w:ascii="Times New Roman" w:hAnsi="Times New Roman" w:cs="Times New Roman"/>
          <w:lang w:val="pt-BR"/>
        </w:rPr>
        <w:t xml:space="preserve">- </w:t>
      </w:r>
      <w:r w:rsidR="0075309A" w:rsidRPr="00024002">
        <w:rPr>
          <w:rFonts w:ascii="Times New Roman" w:hAnsi="Times New Roman" w:cs="Times New Roman"/>
          <w:lang w:val="pt-BR"/>
        </w:rPr>
        <w:t xml:space="preserve"> certificate de atestare fiscală și / sau alte documentele justificative emise în țara în care este stabilit Operatorul Economic (certificat de atestare fiscală care indică nivelul obligațiilor bugetare datorate și restante aferente impozitelor, taxelor și contribuţiilor la bugetul general consolidat (buget de stat, buget local)</w:t>
      </w:r>
      <w:r w:rsidR="00A95F51" w:rsidRPr="00024002">
        <w:rPr>
          <w:rFonts w:ascii="Times New Roman" w:hAnsi="Times New Roman" w:cs="Times New Roman"/>
          <w:lang w:val="pt-BR"/>
        </w:rPr>
        <w:t xml:space="preserve">. </w:t>
      </w:r>
      <w:r w:rsidR="00A95F51" w:rsidRPr="00420778">
        <w:rPr>
          <w:rFonts w:ascii="Times New Roman" w:hAnsi="Times New Roman" w:cs="Times New Roman"/>
          <w:lang w:val="pt-BR"/>
        </w:rPr>
        <w:t>Operatorul economic prezintă pentru sediul principal documente din care să reiasă neîncadrarea în prevederile art. 178 alin. (1), iar pentru sediile secundare/punctele de lucru, o declaraţie pe propria răspundere privind îndeplinirea obligaţiilor de plată a impozitelor, taxelor sau contribuţiilor la bugetul general consolidat datorate.</w:t>
      </w:r>
    </w:p>
    <w:p w14:paraId="2F47240A" w14:textId="2000DCDB" w:rsidR="0075309A" w:rsidRPr="00420778" w:rsidRDefault="00686094" w:rsidP="00986C6C">
      <w:pPr>
        <w:spacing w:line="276" w:lineRule="auto"/>
        <w:jc w:val="both"/>
        <w:rPr>
          <w:rFonts w:ascii="Times New Roman" w:hAnsi="Times New Roman" w:cs="Times New Roman"/>
          <w:lang w:val="pt-BR"/>
        </w:rPr>
      </w:pPr>
      <w:r w:rsidRPr="00420778">
        <w:rPr>
          <w:rFonts w:ascii="Times New Roman" w:hAnsi="Times New Roman" w:cs="Times New Roman"/>
          <w:lang w:val="pt-BR"/>
        </w:rPr>
        <w:t xml:space="preserve">- </w:t>
      </w:r>
      <w:r w:rsidR="0075309A" w:rsidRPr="00420778">
        <w:rPr>
          <w:rFonts w:ascii="Times New Roman" w:hAnsi="Times New Roman" w:cs="Times New Roman"/>
          <w:lang w:val="pt-BR"/>
        </w:rPr>
        <w:t xml:space="preserve"> după caz, documente prin care se demonstrează faptul că operatorul economic poate beneficia de derogările prevăzute la art. 179 alin. (2), art. 180 alin. (2), art. 184 din Legea nr. 99/2016 privind achizitiile sectoriale;</w:t>
      </w:r>
    </w:p>
    <w:p w14:paraId="0F3A20CF" w14:textId="40BE7699" w:rsidR="0075309A" w:rsidRPr="00420778" w:rsidRDefault="00686094" w:rsidP="00986C6C">
      <w:pPr>
        <w:spacing w:line="276" w:lineRule="auto"/>
        <w:jc w:val="both"/>
        <w:rPr>
          <w:rFonts w:ascii="Times New Roman" w:hAnsi="Times New Roman" w:cs="Times New Roman"/>
          <w:lang w:val="pt-BR"/>
        </w:rPr>
      </w:pPr>
      <w:r w:rsidRPr="00420778">
        <w:rPr>
          <w:rFonts w:ascii="Times New Roman" w:hAnsi="Times New Roman" w:cs="Times New Roman"/>
          <w:lang w:val="pt-BR"/>
        </w:rPr>
        <w:t xml:space="preserve">- </w:t>
      </w:r>
      <w:r w:rsidR="0075309A" w:rsidRPr="00420778">
        <w:rPr>
          <w:rFonts w:ascii="Times New Roman" w:hAnsi="Times New Roman" w:cs="Times New Roman"/>
          <w:lang w:val="pt-BR"/>
        </w:rPr>
        <w:t xml:space="preserve"> alte documente echivalente emise de autoritățile competente din țara în care este stabilit Operatorul Economic.</w:t>
      </w:r>
    </w:p>
    <w:p w14:paraId="442A7FD0" w14:textId="77777777" w:rsidR="00C32799" w:rsidRPr="00420778" w:rsidRDefault="00C32799" w:rsidP="00986C6C">
      <w:pPr>
        <w:spacing w:line="276" w:lineRule="auto"/>
        <w:jc w:val="both"/>
        <w:rPr>
          <w:rFonts w:ascii="Times New Roman" w:hAnsi="Times New Roman" w:cs="Times New Roman"/>
          <w:lang w:val="pt-BR"/>
        </w:rPr>
      </w:pPr>
      <w:r w:rsidRPr="00420778">
        <w:rPr>
          <w:rFonts w:ascii="Times New Roman" w:hAnsi="Times New Roman" w:cs="Times New Roman"/>
          <w:lang w:val="pt-BR"/>
        </w:rPr>
        <w:t>Persoanele juridice străine vor prezenta orice document edificator pentru dovedirea eligibilității – eliberat de autorități din tara de origine (certificate, caziere judiciare, sau alte documente echivalente emise de autorități competente din tara respectiva) valabile la momentul prezentării prin care sa dovedească faptul ca nu au obligații restante de plată a impozitelor la momentul prezentării lor, în conformitate cu prevederile legislației din țara de rezidență.</w:t>
      </w:r>
    </w:p>
    <w:p w14:paraId="4C704D41" w14:textId="53B2A5CB" w:rsidR="001E617A" w:rsidRPr="00420778" w:rsidRDefault="001E617A" w:rsidP="00986C6C">
      <w:pPr>
        <w:spacing w:line="276" w:lineRule="auto"/>
        <w:jc w:val="both"/>
        <w:rPr>
          <w:rFonts w:ascii="Times New Roman" w:hAnsi="Times New Roman" w:cs="Times New Roman"/>
          <w:lang w:val="pt-BR"/>
        </w:rPr>
      </w:pPr>
      <w:r w:rsidRPr="00420778">
        <w:rPr>
          <w:rFonts w:ascii="Times New Roman" w:hAnsi="Times New Roman" w:cs="Times New Roman"/>
          <w:lang w:val="pt-BR"/>
        </w:rPr>
        <w:t>Documentele prezentate vor fi însoțite de traducerea autorizata in limba romana.</w:t>
      </w:r>
    </w:p>
    <w:p w14:paraId="2E1FCD50" w14:textId="77777777" w:rsidR="00C35F31" w:rsidRPr="00024002" w:rsidRDefault="00C35F31" w:rsidP="00986C6C">
      <w:pPr>
        <w:spacing w:line="276" w:lineRule="auto"/>
        <w:jc w:val="both"/>
        <w:rPr>
          <w:rFonts w:ascii="Times New Roman" w:hAnsi="Times New Roman" w:cs="Times New Roman"/>
          <w:lang w:val="pt-BR"/>
        </w:rPr>
      </w:pPr>
      <w:r w:rsidRPr="00024002">
        <w:rPr>
          <w:rFonts w:ascii="Times New Roman" w:hAnsi="Times New Roman" w:cs="Times New Roman"/>
          <w:lang w:val="pt-BR"/>
        </w:rPr>
        <w:t>Potențialii Ofertanți, rezidenți în Uniunea Europeană și în țările din Spațiul Economic European (SEE), pot utiliza site-ul web al Comisiei Europene disponibil la următoarea adresă: https://ec.europa.eu/tools/ecertis/search pentru a identifica documentele care urmează să fie prezentate ca documente justificative (dacă acestea sunt disponibile în țara respectivă).</w:t>
      </w:r>
    </w:p>
    <w:p w14:paraId="06C0D108" w14:textId="7016AF6E" w:rsidR="00C35F31" w:rsidRPr="00420778" w:rsidRDefault="00C35F31" w:rsidP="00986C6C">
      <w:pPr>
        <w:spacing w:line="276" w:lineRule="auto"/>
        <w:jc w:val="both"/>
        <w:rPr>
          <w:rFonts w:ascii="Times New Roman" w:hAnsi="Times New Roman" w:cs="Times New Roman"/>
          <w:lang w:val="pt-BR"/>
        </w:rPr>
      </w:pPr>
      <w:r w:rsidRPr="00420778">
        <w:rPr>
          <w:rFonts w:ascii="Times New Roman" w:hAnsi="Times New Roman" w:cs="Times New Roman"/>
          <w:lang w:val="pt-BR"/>
        </w:rPr>
        <w:t>Operatorii Economici vor depune versiuni sau traduceri ale documentelor suport în limba procedurii specificată în secțiunea IV.2.4) a Anunțului de Participare, respectiv în limba romana.</w:t>
      </w:r>
    </w:p>
    <w:p w14:paraId="3A14470F" w14:textId="4CD459D7" w:rsidR="00CC186C" w:rsidRPr="00420778" w:rsidRDefault="00C32799" w:rsidP="00986C6C">
      <w:pPr>
        <w:spacing w:line="276" w:lineRule="auto"/>
        <w:jc w:val="both"/>
        <w:rPr>
          <w:rFonts w:ascii="Times New Roman" w:hAnsi="Times New Roman" w:cs="Times New Roman"/>
          <w:lang w:val="pt-BR"/>
        </w:rPr>
      </w:pPr>
      <w:r w:rsidRPr="00420778">
        <w:rPr>
          <w:rFonts w:ascii="Times New Roman" w:hAnsi="Times New Roman" w:cs="Times New Roman"/>
          <w:lang w:val="pt-BR"/>
        </w:rPr>
        <w:t xml:space="preserve">In cazul in care in tara de origine sau in tara in care este stabilit ofertantul nu se emit documente de natura celor prevăzute sau respectivele documente nu vizează toate situațiile prevăzute la art. 177, 178 și 180, persoanele juridice străine pot prezenta o declarație pe propria răspundere sau, daca in tara respectiva nu </w:t>
      </w:r>
      <w:r w:rsidRPr="00420778">
        <w:rPr>
          <w:rFonts w:ascii="Times New Roman" w:hAnsi="Times New Roman" w:cs="Times New Roman"/>
          <w:lang w:val="pt-BR"/>
        </w:rPr>
        <w:lastRenderedPageBreak/>
        <w:t>exista prevederi legale referitoare la declarația pe propria răspundere, o declarație autentica data in fata unui notar, a unei autorități administrative sau judiciare sau a unei asociații profesionale care are competente in acest sens.</w:t>
      </w:r>
    </w:p>
    <w:p w14:paraId="4AFD708B" w14:textId="77777777" w:rsidR="00CC186C" w:rsidRPr="00420778" w:rsidRDefault="00CC186C" w:rsidP="00986C6C">
      <w:pPr>
        <w:spacing w:line="276" w:lineRule="auto"/>
        <w:jc w:val="both"/>
        <w:rPr>
          <w:rFonts w:ascii="Times New Roman" w:hAnsi="Times New Roman" w:cs="Times New Roman"/>
          <w:b/>
          <w:bCs/>
          <w:i/>
          <w:iCs/>
          <w:lang w:val="pt-BR"/>
        </w:rPr>
      </w:pPr>
      <w:r w:rsidRPr="00420778">
        <w:rPr>
          <w:rFonts w:ascii="Times New Roman" w:hAnsi="Times New Roman" w:cs="Times New Roman"/>
          <w:b/>
          <w:bCs/>
          <w:i/>
          <w:iCs/>
          <w:lang w:val="pt-BR"/>
        </w:rPr>
        <w:t xml:space="preserve">Nota 1: </w:t>
      </w:r>
    </w:p>
    <w:p w14:paraId="011C2ED6" w14:textId="3B4AC9C1" w:rsidR="00CC186C" w:rsidRPr="00420778" w:rsidRDefault="00CC186C" w:rsidP="00986C6C">
      <w:pPr>
        <w:spacing w:line="276" w:lineRule="auto"/>
        <w:jc w:val="both"/>
        <w:rPr>
          <w:rFonts w:ascii="Times New Roman" w:hAnsi="Times New Roman" w:cs="Times New Roman"/>
          <w:i/>
          <w:iCs/>
          <w:lang w:val="pt-BR"/>
        </w:rPr>
      </w:pPr>
      <w:r w:rsidRPr="00420778">
        <w:rPr>
          <w:rFonts w:ascii="Times New Roman" w:hAnsi="Times New Roman" w:cs="Times New Roman"/>
          <w:i/>
          <w:iCs/>
          <w:lang w:val="pt-BR"/>
        </w:rPr>
        <w:t>Orice operator economic aflat in oricare din situațiile prevăzute la art. 177, 178 (1) si (2), si 180 (1) din Legea 99/2016, care atrag excluderea din procedura de atribuire, poate furniza dovezi care sa arate ca masurile luate de acesta sunt suficiente pentru a-si demonstra in concret credibilitatea prin raportare la motivele de excludere in conformitate cu prevederile art.184 din Legea 99/2016.</w:t>
      </w:r>
    </w:p>
    <w:p w14:paraId="313D693D" w14:textId="77777777" w:rsidR="00CC186C" w:rsidRPr="00986C6C" w:rsidRDefault="00CC186C" w:rsidP="00986C6C">
      <w:pPr>
        <w:spacing w:line="276" w:lineRule="auto"/>
        <w:jc w:val="both"/>
        <w:rPr>
          <w:rFonts w:ascii="Times New Roman" w:hAnsi="Times New Roman" w:cs="Times New Roman"/>
          <w:b/>
          <w:bCs/>
          <w:i/>
          <w:iCs/>
        </w:rPr>
      </w:pPr>
      <w:r w:rsidRPr="00986C6C">
        <w:rPr>
          <w:rFonts w:ascii="Times New Roman" w:hAnsi="Times New Roman" w:cs="Times New Roman"/>
          <w:b/>
          <w:bCs/>
          <w:i/>
          <w:iCs/>
        </w:rPr>
        <w:t xml:space="preserve">Nota 2: </w:t>
      </w:r>
    </w:p>
    <w:p w14:paraId="1BFB040F" w14:textId="77777777" w:rsidR="00CC186C" w:rsidRPr="00986C6C" w:rsidRDefault="00CC186C" w:rsidP="00986C6C">
      <w:pPr>
        <w:spacing w:line="276" w:lineRule="auto"/>
        <w:jc w:val="both"/>
        <w:rPr>
          <w:rFonts w:ascii="Times New Roman" w:hAnsi="Times New Roman" w:cs="Times New Roman"/>
          <w:i/>
          <w:iCs/>
        </w:rPr>
      </w:pPr>
      <w:r w:rsidRPr="00986C6C">
        <w:rPr>
          <w:rFonts w:ascii="Times New Roman" w:hAnsi="Times New Roman" w:cs="Times New Roman"/>
          <w:i/>
          <w:iCs/>
        </w:rPr>
        <w:t xml:space="preserve">In </w:t>
      </w:r>
      <w:proofErr w:type="spellStart"/>
      <w:r w:rsidRPr="00986C6C">
        <w:rPr>
          <w:rFonts w:ascii="Times New Roman" w:hAnsi="Times New Roman" w:cs="Times New Roman"/>
          <w:i/>
          <w:iCs/>
        </w:rPr>
        <w:t>conformitate</w:t>
      </w:r>
      <w:proofErr w:type="spellEnd"/>
      <w:r w:rsidRPr="00986C6C">
        <w:rPr>
          <w:rFonts w:ascii="Times New Roman" w:hAnsi="Times New Roman" w:cs="Times New Roman"/>
          <w:i/>
          <w:iCs/>
        </w:rPr>
        <w:t xml:space="preserve"> cu </w:t>
      </w:r>
      <w:proofErr w:type="spellStart"/>
      <w:r w:rsidRPr="00986C6C">
        <w:rPr>
          <w:rFonts w:ascii="Times New Roman" w:hAnsi="Times New Roman" w:cs="Times New Roman"/>
          <w:i/>
          <w:iCs/>
        </w:rPr>
        <w:t>prevederile</w:t>
      </w:r>
      <w:proofErr w:type="spellEnd"/>
      <w:r w:rsidRPr="00986C6C">
        <w:rPr>
          <w:rFonts w:ascii="Times New Roman" w:hAnsi="Times New Roman" w:cs="Times New Roman"/>
          <w:i/>
          <w:iCs/>
        </w:rPr>
        <w:t xml:space="preserve"> art. 178 din Legea 99/2016:</w:t>
      </w:r>
    </w:p>
    <w:p w14:paraId="07D76997" w14:textId="77777777" w:rsidR="00CC186C" w:rsidRPr="009262FD" w:rsidRDefault="00CC186C" w:rsidP="00986C6C">
      <w:pPr>
        <w:spacing w:line="276" w:lineRule="auto"/>
        <w:jc w:val="both"/>
        <w:rPr>
          <w:rFonts w:ascii="Times New Roman" w:hAnsi="Times New Roman" w:cs="Times New Roman"/>
          <w:i/>
          <w:iCs/>
          <w:lang w:val="pt-BR"/>
        </w:rPr>
      </w:pPr>
      <w:r w:rsidRPr="009262FD">
        <w:rPr>
          <w:rFonts w:ascii="Times New Roman" w:hAnsi="Times New Roman" w:cs="Times New Roman"/>
          <w:i/>
          <w:iCs/>
          <w:lang w:val="pt-BR"/>
        </w:rPr>
        <w:t>(1) Entitatea contractantă exclude din procedura de atribuire orice operator economic despre care:</w:t>
      </w:r>
    </w:p>
    <w:p w14:paraId="6DFA6F2D" w14:textId="77777777" w:rsidR="00CC186C" w:rsidRPr="009262FD" w:rsidRDefault="00CC186C" w:rsidP="00986C6C">
      <w:pPr>
        <w:spacing w:line="276" w:lineRule="auto"/>
        <w:jc w:val="both"/>
        <w:rPr>
          <w:rFonts w:ascii="Times New Roman" w:hAnsi="Times New Roman" w:cs="Times New Roman"/>
          <w:i/>
          <w:iCs/>
          <w:lang w:val="pt-BR"/>
        </w:rPr>
      </w:pPr>
      <w:r w:rsidRPr="009262FD">
        <w:rPr>
          <w:rFonts w:ascii="Times New Roman" w:hAnsi="Times New Roman" w:cs="Times New Roman"/>
          <w:i/>
          <w:iCs/>
          <w:lang w:val="pt-BR"/>
        </w:rPr>
        <w:t>a) fie are cunoștință că și-a încălcat obligațiile privind plata impozitelor, taxelor sau a contribuțiilor la bugetul general consolidat, iar acest lucru a fost stabilit printr-o hotărâre</w:t>
      </w:r>
    </w:p>
    <w:p w14:paraId="3B880513" w14:textId="77777777" w:rsidR="00CC186C" w:rsidRPr="009262FD" w:rsidRDefault="00CC186C" w:rsidP="00986C6C">
      <w:pPr>
        <w:spacing w:line="276" w:lineRule="auto"/>
        <w:jc w:val="both"/>
        <w:rPr>
          <w:rFonts w:ascii="Times New Roman" w:hAnsi="Times New Roman" w:cs="Times New Roman"/>
          <w:i/>
          <w:iCs/>
          <w:lang w:val="pt-BR"/>
        </w:rPr>
      </w:pPr>
      <w:r w:rsidRPr="009262FD">
        <w:rPr>
          <w:rFonts w:ascii="Times New Roman" w:hAnsi="Times New Roman" w:cs="Times New Roman"/>
          <w:i/>
          <w:iCs/>
          <w:lang w:val="pt-BR"/>
        </w:rPr>
        <w:t>judecătorească sau decizie administrativă având caracter definitiv și obligatoriu în conformitate cu legea statului în care respectivul operator economic este înființat, sau cu cele ale statului membru al autorității contractante;</w:t>
      </w:r>
    </w:p>
    <w:p w14:paraId="6C37858A" w14:textId="77777777" w:rsidR="00CC186C" w:rsidRPr="009262FD" w:rsidRDefault="00CC186C" w:rsidP="00986C6C">
      <w:pPr>
        <w:spacing w:line="276" w:lineRule="auto"/>
        <w:jc w:val="both"/>
        <w:rPr>
          <w:rFonts w:ascii="Times New Roman" w:hAnsi="Times New Roman" w:cs="Times New Roman"/>
          <w:i/>
          <w:iCs/>
          <w:lang w:val="pt-BR"/>
        </w:rPr>
      </w:pPr>
      <w:r w:rsidRPr="009262FD">
        <w:rPr>
          <w:rFonts w:ascii="Times New Roman" w:hAnsi="Times New Roman" w:cs="Times New Roman"/>
          <w:i/>
          <w:iCs/>
          <w:lang w:val="pt-BR"/>
        </w:rPr>
        <w:t>b) fie poate demonstra prin orice mijloace adecvate că respectivul operator economic şi-a încălcat obligațiile privind plata impozitelor, taxelor sau a contribuțiilor la bugetul general consolidat.</w:t>
      </w:r>
    </w:p>
    <w:p w14:paraId="290ADE98" w14:textId="77777777" w:rsidR="00CC186C" w:rsidRPr="00420778" w:rsidRDefault="00CC186C" w:rsidP="00986C6C">
      <w:pPr>
        <w:spacing w:line="276" w:lineRule="auto"/>
        <w:jc w:val="both"/>
        <w:rPr>
          <w:rFonts w:ascii="Times New Roman" w:hAnsi="Times New Roman" w:cs="Times New Roman"/>
          <w:i/>
          <w:iCs/>
          <w:lang w:val="pt-BR"/>
        </w:rPr>
      </w:pPr>
      <w:r w:rsidRPr="00420778">
        <w:rPr>
          <w:rFonts w:ascii="Times New Roman" w:hAnsi="Times New Roman" w:cs="Times New Roman"/>
          <w:i/>
          <w:iCs/>
          <w:lang w:val="pt-BR"/>
        </w:rPr>
        <w:t>(2) Operatorul economic nu este exclus din procedura de atribuire dacă, anterior deciziei de excludere, își îndeplinește obligațiile prin plata impozitelor, taxelor sau contribuțiilor la bugetul general consolidat datorate ori prin alte modalități de stingere a acestora sau beneficiază, în condițiile legii, de eșalonarea acestora ori de alte facilități în vederea plății acestora, inclusiv, după caz, a eventualelor dobânzi ori penalități de întârziere acumulate sau a amenzilor.</w:t>
      </w:r>
    </w:p>
    <w:p w14:paraId="1EF682EC" w14:textId="13786FC5" w:rsidR="00CC186C" w:rsidRPr="00420778" w:rsidRDefault="00CC186C" w:rsidP="00986C6C">
      <w:pPr>
        <w:spacing w:line="276" w:lineRule="auto"/>
        <w:jc w:val="both"/>
        <w:rPr>
          <w:rFonts w:ascii="Times New Roman" w:hAnsi="Times New Roman" w:cs="Times New Roman"/>
          <w:i/>
          <w:iCs/>
          <w:lang w:val="pt-BR"/>
        </w:rPr>
      </w:pPr>
      <w:r w:rsidRPr="00420778">
        <w:rPr>
          <w:rFonts w:ascii="Times New Roman" w:hAnsi="Times New Roman" w:cs="Times New Roman"/>
          <w:i/>
          <w:iCs/>
          <w:lang w:val="pt-BR"/>
        </w:rPr>
        <w:t>(3) Pentru respectarea prevederilor alin. (2), în etapa prevăzută la art. 205 alin. (2), operatorul economic prezintă pentru sediul principal documente din care să reiasă neîncadrarea în prevederile art. 178 alin. (1), iar pentru sediile secundare/punctele de lucru, o declarație pe propria răspundere privind îndeplinirea obligațiilor de plată a impozitelor, taxelor sau contribuțiilor la bugetul general consolidat datorate.</w:t>
      </w:r>
    </w:p>
    <w:p w14:paraId="72095373" w14:textId="77777777" w:rsidR="00CC186C" w:rsidRPr="00986C6C" w:rsidRDefault="00CC186C" w:rsidP="00986C6C">
      <w:pPr>
        <w:spacing w:line="276" w:lineRule="auto"/>
        <w:jc w:val="both"/>
        <w:rPr>
          <w:rFonts w:ascii="Times New Roman" w:hAnsi="Times New Roman" w:cs="Times New Roman"/>
          <w:b/>
          <w:bCs/>
          <w:i/>
          <w:iCs/>
          <w:lang w:val="it-IT"/>
        </w:rPr>
      </w:pPr>
      <w:r w:rsidRPr="00986C6C">
        <w:rPr>
          <w:rFonts w:ascii="Times New Roman" w:hAnsi="Times New Roman" w:cs="Times New Roman"/>
          <w:b/>
          <w:bCs/>
          <w:i/>
          <w:iCs/>
          <w:lang w:val="it-IT"/>
        </w:rPr>
        <w:t>Nota 3:</w:t>
      </w:r>
    </w:p>
    <w:p w14:paraId="6AD35A10" w14:textId="77777777" w:rsidR="00CC186C" w:rsidRPr="00986C6C" w:rsidRDefault="00CC186C" w:rsidP="00986C6C">
      <w:pPr>
        <w:spacing w:line="276" w:lineRule="auto"/>
        <w:jc w:val="both"/>
        <w:rPr>
          <w:rFonts w:ascii="Times New Roman" w:hAnsi="Times New Roman" w:cs="Times New Roman"/>
          <w:i/>
          <w:iCs/>
          <w:lang w:val="it-IT"/>
        </w:rPr>
      </w:pPr>
      <w:r w:rsidRPr="00986C6C">
        <w:rPr>
          <w:rFonts w:ascii="Times New Roman" w:hAnsi="Times New Roman" w:cs="Times New Roman"/>
          <w:i/>
          <w:iCs/>
          <w:lang w:val="it-IT"/>
        </w:rPr>
        <w:t>1. In conformitate cu prevederile art. 66 din legea 99/2016:</w:t>
      </w:r>
    </w:p>
    <w:p w14:paraId="4932F83F" w14:textId="77777777" w:rsidR="00CC186C" w:rsidRPr="00986C6C" w:rsidRDefault="00CC186C" w:rsidP="00986C6C">
      <w:pPr>
        <w:spacing w:line="276" w:lineRule="auto"/>
        <w:jc w:val="both"/>
        <w:rPr>
          <w:rFonts w:ascii="Times New Roman" w:hAnsi="Times New Roman" w:cs="Times New Roman"/>
          <w:i/>
          <w:iCs/>
          <w:lang w:val="it-IT"/>
        </w:rPr>
      </w:pPr>
      <w:r w:rsidRPr="00986C6C">
        <w:rPr>
          <w:rFonts w:ascii="Times New Roman" w:hAnsi="Times New Roman" w:cs="Times New Roman"/>
          <w:i/>
          <w:iCs/>
          <w:lang w:val="it-IT"/>
        </w:rPr>
        <w:t>„Art. 66. - (1) Au dreptul de a participa la procedurile de atribuire prevăzute la art. 82 alin. (1), în oricare dintre calitățile de ofertant /terț susținător/ operatorii economici definiți la art. 3 alin. (1) lit. ii).</w:t>
      </w:r>
    </w:p>
    <w:p w14:paraId="436A5A09" w14:textId="5FBECDB5" w:rsidR="00CC186C" w:rsidRPr="00986C6C" w:rsidRDefault="00CC186C" w:rsidP="00986C6C">
      <w:pPr>
        <w:spacing w:line="276" w:lineRule="auto"/>
        <w:jc w:val="both"/>
        <w:rPr>
          <w:rFonts w:ascii="Times New Roman" w:hAnsi="Times New Roman" w:cs="Times New Roman"/>
          <w:i/>
          <w:iCs/>
          <w:lang w:val="it-IT"/>
        </w:rPr>
      </w:pPr>
      <w:r w:rsidRPr="00986C6C">
        <w:rPr>
          <w:rFonts w:ascii="Times New Roman" w:hAnsi="Times New Roman" w:cs="Times New Roman"/>
          <w:i/>
          <w:iCs/>
          <w:lang w:val="it-IT"/>
        </w:rPr>
        <w:t>2.  Entitatea contractantă exclude din procedura de atribuire orice persoană fizică sau juridică, având calitatea de ofertant individual/ofertant asociat/terț susținător, care nu se încadrează în definiția de la art. 3 alin. (1) lit. ii), fără a mai fi necesară verificarea încadrării în prevederile art. 177, 178 și 180.”</w:t>
      </w:r>
    </w:p>
    <w:p w14:paraId="620CDA3E" w14:textId="77777777" w:rsidR="00CC186C" w:rsidRPr="00986C6C" w:rsidRDefault="00CC186C" w:rsidP="00986C6C">
      <w:pPr>
        <w:spacing w:line="276" w:lineRule="auto"/>
        <w:jc w:val="both"/>
        <w:rPr>
          <w:rFonts w:ascii="Times New Roman" w:hAnsi="Times New Roman" w:cs="Times New Roman"/>
          <w:i/>
          <w:iCs/>
          <w:lang w:val="it-IT"/>
        </w:rPr>
      </w:pPr>
      <w:r w:rsidRPr="00986C6C">
        <w:rPr>
          <w:rFonts w:ascii="Times New Roman" w:hAnsi="Times New Roman" w:cs="Times New Roman"/>
          <w:i/>
          <w:iCs/>
          <w:lang w:val="it-IT"/>
        </w:rPr>
        <w:lastRenderedPageBreak/>
        <w:t>2. In conformitate cu OUG Nr. 25/2021, art. II, Legea nr. 99/2016 privind achizițiile sectoriale, cu modificările si completările ulterioare, operatorii economici definiți la art. 3 alin. (1) lit. ii) din Legea 99/2016 si care au dreptul de a participa la procedurile de atribuire prevăzute la art. 82 alin. (1) sunt:</w:t>
      </w:r>
    </w:p>
    <w:p w14:paraId="221D6799" w14:textId="77777777" w:rsidR="00CC186C" w:rsidRPr="00986C6C" w:rsidRDefault="00CC186C" w:rsidP="00986C6C">
      <w:pPr>
        <w:spacing w:line="276" w:lineRule="auto"/>
        <w:jc w:val="both"/>
        <w:rPr>
          <w:rFonts w:ascii="Times New Roman" w:hAnsi="Times New Roman" w:cs="Times New Roman"/>
          <w:i/>
          <w:iCs/>
          <w:lang w:val="it-IT"/>
        </w:rPr>
      </w:pPr>
      <w:r w:rsidRPr="00986C6C">
        <w:rPr>
          <w:rFonts w:ascii="Times New Roman" w:hAnsi="Times New Roman" w:cs="Times New Roman"/>
          <w:i/>
          <w:iCs/>
          <w:lang w:val="it-IT"/>
        </w:rPr>
        <w:t>Art. 3 alineatul (1), litera ii):</w:t>
      </w:r>
    </w:p>
    <w:p w14:paraId="5D1C21B6" w14:textId="77777777" w:rsidR="00CC186C" w:rsidRPr="00986C6C" w:rsidRDefault="00CC186C" w:rsidP="00986C6C">
      <w:pPr>
        <w:spacing w:line="276" w:lineRule="auto"/>
        <w:jc w:val="both"/>
        <w:rPr>
          <w:rFonts w:ascii="Times New Roman" w:hAnsi="Times New Roman" w:cs="Times New Roman"/>
          <w:i/>
          <w:iCs/>
          <w:lang w:val="it-IT"/>
        </w:rPr>
      </w:pPr>
      <w:r w:rsidRPr="00986C6C">
        <w:rPr>
          <w:rFonts w:ascii="Times New Roman" w:hAnsi="Times New Roman" w:cs="Times New Roman"/>
          <w:i/>
          <w:iCs/>
          <w:lang w:val="it-IT"/>
        </w:rPr>
        <w:t>„ii) operator economic — orice persoană fizică sau juridică, de drept public ori de drept privat, sau grup ori asociere de astfel de persoane, inclusiv orice asociere temporară formată între două ori mai multe dintre aceste entități, care oferă în mod licit pe piață executarea de lucrări, furnizarea de produse ori prestarea de servicii, și care este/sunt stabilită/stabilite în:</w:t>
      </w:r>
    </w:p>
    <w:p w14:paraId="1B4627C0" w14:textId="77777777" w:rsidR="00CC186C" w:rsidRPr="00986C6C" w:rsidRDefault="00CC186C" w:rsidP="00986C6C">
      <w:pPr>
        <w:spacing w:line="276" w:lineRule="auto"/>
        <w:jc w:val="both"/>
        <w:rPr>
          <w:rFonts w:ascii="Times New Roman" w:hAnsi="Times New Roman" w:cs="Times New Roman"/>
          <w:i/>
          <w:iCs/>
          <w:lang w:val="it-IT"/>
        </w:rPr>
      </w:pPr>
      <w:r w:rsidRPr="00986C6C">
        <w:rPr>
          <w:rFonts w:ascii="Times New Roman" w:hAnsi="Times New Roman" w:cs="Times New Roman"/>
          <w:i/>
          <w:iCs/>
          <w:lang w:val="it-IT"/>
        </w:rPr>
        <w:t>(i) un stat membru al Uniunii Europene;</w:t>
      </w:r>
    </w:p>
    <w:p w14:paraId="6D6FA20D" w14:textId="77777777" w:rsidR="00CC186C" w:rsidRPr="00986C6C" w:rsidRDefault="00CC186C" w:rsidP="00986C6C">
      <w:pPr>
        <w:spacing w:line="276" w:lineRule="auto"/>
        <w:jc w:val="both"/>
        <w:rPr>
          <w:rFonts w:ascii="Times New Roman" w:hAnsi="Times New Roman" w:cs="Times New Roman"/>
          <w:i/>
          <w:iCs/>
          <w:lang w:val="it-IT"/>
        </w:rPr>
      </w:pPr>
      <w:r w:rsidRPr="00986C6C">
        <w:rPr>
          <w:rFonts w:ascii="Times New Roman" w:hAnsi="Times New Roman" w:cs="Times New Roman"/>
          <w:i/>
          <w:iCs/>
          <w:lang w:val="it-IT"/>
        </w:rPr>
        <w:t>(ii) un stat membru al Spațiului Economic European (SEE);</w:t>
      </w:r>
    </w:p>
    <w:p w14:paraId="6EA8BA7D" w14:textId="77777777" w:rsidR="00CC186C" w:rsidRPr="00986C6C" w:rsidRDefault="00CC186C" w:rsidP="00986C6C">
      <w:pPr>
        <w:spacing w:line="276" w:lineRule="auto"/>
        <w:jc w:val="both"/>
        <w:rPr>
          <w:rFonts w:ascii="Times New Roman" w:hAnsi="Times New Roman" w:cs="Times New Roman"/>
          <w:i/>
          <w:iCs/>
          <w:lang w:val="it-IT"/>
        </w:rPr>
      </w:pPr>
      <w:r w:rsidRPr="00986C6C">
        <w:rPr>
          <w:rFonts w:ascii="Times New Roman" w:hAnsi="Times New Roman" w:cs="Times New Roman"/>
          <w:i/>
          <w:iCs/>
          <w:lang w:val="it-IT"/>
        </w:rPr>
        <w:t>(iii) țări terțe care au ratificat Acordul privind Achizițiile Publice al Organizației Mondiale a Comerțului (AAP), în măsura în care contractul sectorial atribuit intră sub incidența anexelor 3, 4 și 5, 6 și 7 la Apendicele I al Uniunii Europene la acordul respectiv;</w:t>
      </w:r>
    </w:p>
    <w:p w14:paraId="5A0751A8" w14:textId="77777777" w:rsidR="00CC186C" w:rsidRPr="00986C6C" w:rsidRDefault="00CC186C" w:rsidP="00986C6C">
      <w:pPr>
        <w:spacing w:line="276" w:lineRule="auto"/>
        <w:jc w:val="both"/>
        <w:rPr>
          <w:rFonts w:ascii="Times New Roman" w:hAnsi="Times New Roman" w:cs="Times New Roman"/>
          <w:i/>
          <w:iCs/>
          <w:lang w:val="it-IT"/>
        </w:rPr>
      </w:pPr>
      <w:r w:rsidRPr="00986C6C">
        <w:rPr>
          <w:rFonts w:ascii="Times New Roman" w:hAnsi="Times New Roman" w:cs="Times New Roman"/>
          <w:i/>
          <w:iCs/>
          <w:lang w:val="it-IT"/>
        </w:rPr>
        <w:t>(iv) țări terțe care se află în proces de aderare la Uniunea Europeană;</w:t>
      </w:r>
    </w:p>
    <w:p w14:paraId="25DD9C1D" w14:textId="51D69E1D" w:rsidR="00CC186C" w:rsidRPr="00986C6C" w:rsidRDefault="00CC186C" w:rsidP="00986C6C">
      <w:pPr>
        <w:spacing w:line="276" w:lineRule="auto"/>
        <w:jc w:val="both"/>
        <w:rPr>
          <w:rFonts w:ascii="Times New Roman" w:hAnsi="Times New Roman" w:cs="Times New Roman"/>
          <w:i/>
          <w:iCs/>
          <w:lang w:val="it-IT"/>
        </w:rPr>
      </w:pPr>
      <w:r w:rsidRPr="00986C6C">
        <w:rPr>
          <w:rFonts w:ascii="Times New Roman" w:hAnsi="Times New Roman" w:cs="Times New Roman"/>
          <w:i/>
          <w:iCs/>
          <w:lang w:val="it-IT"/>
        </w:rPr>
        <w:t>(v) țări terțe care nu intră sub incidența pct. (iii), dar care sunt semnatare ale altor acorduri internaționale prin care Uniunea Europeană este obligată să acorde accesul liber la piața în domeniul achizițiilor publice;”</w:t>
      </w:r>
    </w:p>
    <w:p w14:paraId="41BABC82" w14:textId="77777777" w:rsidR="00CC186C" w:rsidRPr="00986C6C" w:rsidRDefault="00CC186C" w:rsidP="00986C6C">
      <w:pPr>
        <w:pStyle w:val="BodyText"/>
        <w:kinsoku w:val="0"/>
        <w:overflowPunct w:val="0"/>
        <w:spacing w:line="276" w:lineRule="auto"/>
        <w:ind w:right="138"/>
        <w:jc w:val="both"/>
        <w:rPr>
          <w:rFonts w:ascii="Times New Roman" w:hAnsi="Times New Roman"/>
          <w:b/>
          <w:bCs/>
          <w:i/>
          <w:iCs/>
          <w:color w:val="auto"/>
          <w:spacing w:val="1"/>
          <w:sz w:val="22"/>
          <w:szCs w:val="22"/>
          <w:lang w:val="it-IT"/>
        </w:rPr>
      </w:pPr>
      <w:r w:rsidRPr="00986C6C">
        <w:rPr>
          <w:rFonts w:ascii="Times New Roman" w:hAnsi="Times New Roman"/>
          <w:b/>
          <w:bCs/>
          <w:i/>
          <w:iCs/>
          <w:color w:val="auto"/>
          <w:spacing w:val="1"/>
          <w:sz w:val="22"/>
          <w:szCs w:val="22"/>
          <w:lang w:val="it-IT"/>
        </w:rPr>
        <w:t>Nota 4:</w:t>
      </w:r>
    </w:p>
    <w:p w14:paraId="33DE9501" w14:textId="77777777" w:rsidR="00CC186C" w:rsidRPr="00986C6C" w:rsidRDefault="00CC186C" w:rsidP="00986C6C">
      <w:pPr>
        <w:pStyle w:val="BodyText"/>
        <w:kinsoku w:val="0"/>
        <w:overflowPunct w:val="0"/>
        <w:spacing w:line="276" w:lineRule="auto"/>
        <w:ind w:right="138"/>
        <w:jc w:val="both"/>
        <w:rPr>
          <w:rFonts w:ascii="Times New Roman" w:hAnsi="Times New Roman"/>
          <w:i/>
          <w:iCs/>
          <w:color w:val="auto"/>
          <w:spacing w:val="1"/>
          <w:sz w:val="22"/>
          <w:szCs w:val="22"/>
          <w:lang w:val="it-IT"/>
        </w:rPr>
      </w:pPr>
      <w:r w:rsidRPr="00986C6C">
        <w:rPr>
          <w:rFonts w:ascii="Times New Roman" w:hAnsi="Times New Roman"/>
          <w:i/>
          <w:iCs/>
          <w:color w:val="auto"/>
          <w:spacing w:val="1"/>
          <w:sz w:val="22"/>
          <w:szCs w:val="22"/>
          <w:lang w:val="it-IT"/>
        </w:rPr>
        <w:t>1. Operatorii Economici vor depune versiuni sau traduceri ale documentelor suport în limba procedurii specificată în secțiunea IV.2.4) a Anunțului de Participare, respectiv în limba romana.</w:t>
      </w:r>
    </w:p>
    <w:p w14:paraId="7D070FAA" w14:textId="77777777" w:rsidR="00CC186C" w:rsidRPr="00420778" w:rsidRDefault="00CC186C" w:rsidP="00986C6C">
      <w:pPr>
        <w:pStyle w:val="BodyText"/>
        <w:kinsoku w:val="0"/>
        <w:overflowPunct w:val="0"/>
        <w:spacing w:line="276" w:lineRule="auto"/>
        <w:ind w:right="138"/>
        <w:jc w:val="both"/>
        <w:rPr>
          <w:rFonts w:ascii="Times New Roman" w:hAnsi="Times New Roman"/>
          <w:i/>
          <w:iCs/>
          <w:color w:val="auto"/>
          <w:spacing w:val="1"/>
          <w:sz w:val="22"/>
          <w:szCs w:val="22"/>
          <w:lang w:val="pt-BR"/>
        </w:rPr>
      </w:pPr>
      <w:r w:rsidRPr="00420778">
        <w:rPr>
          <w:rFonts w:ascii="Times New Roman" w:hAnsi="Times New Roman"/>
          <w:i/>
          <w:iCs/>
          <w:color w:val="auto"/>
          <w:spacing w:val="1"/>
          <w:sz w:val="22"/>
          <w:szCs w:val="22"/>
          <w:lang w:val="pt-BR"/>
        </w:rPr>
        <w:t>2. Entitatea Contractantă își rezervă dreptul de a:</w:t>
      </w:r>
    </w:p>
    <w:p w14:paraId="12F0F7D4" w14:textId="77777777" w:rsidR="00CC186C" w:rsidRPr="00420778" w:rsidRDefault="00CC186C" w:rsidP="00986C6C">
      <w:pPr>
        <w:pStyle w:val="BodyText"/>
        <w:kinsoku w:val="0"/>
        <w:overflowPunct w:val="0"/>
        <w:spacing w:line="276" w:lineRule="auto"/>
        <w:ind w:left="232" w:right="138"/>
        <w:jc w:val="both"/>
        <w:rPr>
          <w:rFonts w:ascii="Times New Roman" w:hAnsi="Times New Roman"/>
          <w:i/>
          <w:iCs/>
          <w:color w:val="auto"/>
          <w:spacing w:val="1"/>
          <w:sz w:val="22"/>
          <w:szCs w:val="22"/>
          <w:lang w:val="pt-BR"/>
        </w:rPr>
      </w:pPr>
      <w:r w:rsidRPr="00420778">
        <w:rPr>
          <w:rFonts w:ascii="Times New Roman" w:hAnsi="Times New Roman"/>
          <w:i/>
          <w:iCs/>
          <w:color w:val="auto"/>
          <w:spacing w:val="1"/>
          <w:sz w:val="22"/>
          <w:szCs w:val="22"/>
          <w:lang w:val="pt-BR"/>
        </w:rPr>
        <w:t>i. solicita informații suplimentare de la respectivul Operator Economic în scopul evaluării încadrării în situațiile legate de motivele de excludere;</w:t>
      </w:r>
    </w:p>
    <w:p w14:paraId="41603849" w14:textId="77777777" w:rsidR="00CC186C" w:rsidRPr="00420778" w:rsidRDefault="00CC186C" w:rsidP="00986C6C">
      <w:pPr>
        <w:pStyle w:val="BodyText"/>
        <w:kinsoku w:val="0"/>
        <w:overflowPunct w:val="0"/>
        <w:spacing w:line="276" w:lineRule="auto"/>
        <w:ind w:left="232" w:right="138"/>
        <w:jc w:val="both"/>
        <w:rPr>
          <w:rFonts w:ascii="Times New Roman" w:hAnsi="Times New Roman"/>
          <w:i/>
          <w:iCs/>
          <w:color w:val="auto"/>
          <w:spacing w:val="1"/>
          <w:sz w:val="22"/>
          <w:szCs w:val="22"/>
          <w:lang w:val="pt-BR"/>
        </w:rPr>
      </w:pPr>
      <w:r w:rsidRPr="00420778">
        <w:rPr>
          <w:rFonts w:ascii="Times New Roman" w:hAnsi="Times New Roman"/>
          <w:i/>
          <w:iCs/>
          <w:color w:val="auto"/>
          <w:spacing w:val="1"/>
          <w:sz w:val="22"/>
          <w:szCs w:val="22"/>
          <w:lang w:val="pt-BR"/>
        </w:rPr>
        <w:t>ii. solicita în mod direct informații de la autoritățile competente în caz de incertitudine legată de oricare dintre motivele de excludere;</w:t>
      </w:r>
    </w:p>
    <w:p w14:paraId="235C322C" w14:textId="77777777" w:rsidR="00CC186C" w:rsidRPr="00420778" w:rsidRDefault="00CC186C" w:rsidP="00986C6C">
      <w:pPr>
        <w:pStyle w:val="BodyText"/>
        <w:kinsoku w:val="0"/>
        <w:overflowPunct w:val="0"/>
        <w:spacing w:line="276" w:lineRule="auto"/>
        <w:ind w:left="232" w:right="138"/>
        <w:jc w:val="both"/>
        <w:rPr>
          <w:rFonts w:ascii="Times New Roman" w:hAnsi="Times New Roman"/>
          <w:i/>
          <w:iCs/>
          <w:color w:val="auto"/>
          <w:spacing w:val="1"/>
          <w:sz w:val="22"/>
          <w:szCs w:val="22"/>
          <w:lang w:val="pt-BR"/>
        </w:rPr>
      </w:pPr>
      <w:r w:rsidRPr="00420778">
        <w:rPr>
          <w:rFonts w:ascii="Times New Roman" w:hAnsi="Times New Roman"/>
          <w:i/>
          <w:iCs/>
          <w:color w:val="auto"/>
          <w:spacing w:val="1"/>
          <w:sz w:val="22"/>
          <w:szCs w:val="22"/>
          <w:lang w:val="pt-BR"/>
        </w:rPr>
        <w:t>iii. lua în considerare în timpul evaluării mecanismul de "autocorectare" descris de Operatorii Economici în cadrul DUAE (răspuns), în cazul în care acest mecanism este demonstrat prin documente justificative;</w:t>
      </w:r>
    </w:p>
    <w:p w14:paraId="22FD79CF" w14:textId="77777777" w:rsidR="00CC186C" w:rsidRPr="00420778" w:rsidRDefault="00CC186C" w:rsidP="00986C6C">
      <w:pPr>
        <w:pStyle w:val="BodyText"/>
        <w:kinsoku w:val="0"/>
        <w:overflowPunct w:val="0"/>
        <w:spacing w:line="276" w:lineRule="auto"/>
        <w:ind w:left="232" w:right="138"/>
        <w:jc w:val="both"/>
        <w:rPr>
          <w:rFonts w:ascii="Times New Roman" w:hAnsi="Times New Roman"/>
          <w:i/>
          <w:iCs/>
          <w:color w:val="auto"/>
          <w:spacing w:val="1"/>
          <w:sz w:val="22"/>
          <w:szCs w:val="22"/>
          <w:lang w:val="pt-BR"/>
        </w:rPr>
      </w:pPr>
      <w:r w:rsidRPr="00420778">
        <w:rPr>
          <w:rFonts w:ascii="Times New Roman" w:hAnsi="Times New Roman"/>
          <w:i/>
          <w:iCs/>
          <w:color w:val="auto"/>
          <w:spacing w:val="1"/>
          <w:sz w:val="22"/>
          <w:szCs w:val="22"/>
          <w:lang w:val="pt-BR"/>
        </w:rPr>
        <w:t>iv. solicita, in orice moment pe parcursul procesului de evaluare, oricăruia dintre Operatorii Economici implicați în această procedură să demonstreze cu documente justificative informațiile incluse în DUAE (răspuns), dacă acest lucru este necesar pentru a se asigura buna desfășurare a procedurii.</w:t>
      </w:r>
    </w:p>
    <w:p w14:paraId="7136BA09" w14:textId="77777777" w:rsidR="00CC186C" w:rsidRPr="00420778" w:rsidRDefault="00CC186C" w:rsidP="00986C6C">
      <w:pPr>
        <w:pStyle w:val="BodyText"/>
        <w:kinsoku w:val="0"/>
        <w:overflowPunct w:val="0"/>
        <w:spacing w:line="276" w:lineRule="auto"/>
        <w:ind w:left="232" w:right="138"/>
        <w:jc w:val="both"/>
        <w:rPr>
          <w:rFonts w:ascii="Times New Roman" w:hAnsi="Times New Roman"/>
          <w:i/>
          <w:iCs/>
          <w:color w:val="auto"/>
          <w:spacing w:val="1"/>
          <w:sz w:val="22"/>
          <w:szCs w:val="22"/>
          <w:lang w:val="pt-BR"/>
        </w:rPr>
      </w:pPr>
      <w:r w:rsidRPr="00420778">
        <w:rPr>
          <w:rFonts w:ascii="Times New Roman" w:hAnsi="Times New Roman"/>
          <w:i/>
          <w:iCs/>
          <w:color w:val="auto"/>
          <w:spacing w:val="1"/>
          <w:sz w:val="22"/>
          <w:szCs w:val="22"/>
          <w:lang w:val="pt-BR"/>
        </w:rPr>
        <w:t>3. Entitatea Contractantă va solicita o singură dată ca un Ofertant să înlocuiască un Subcontractant pentru care s-a demonstrat în urma evaluării că există motive de excludere.</w:t>
      </w:r>
    </w:p>
    <w:p w14:paraId="5B8BE22E" w14:textId="77777777" w:rsidR="00CC186C" w:rsidRPr="00420778" w:rsidRDefault="00CC186C" w:rsidP="00986C6C">
      <w:pPr>
        <w:pStyle w:val="BodyText"/>
        <w:kinsoku w:val="0"/>
        <w:overflowPunct w:val="0"/>
        <w:spacing w:line="276" w:lineRule="auto"/>
        <w:ind w:left="232" w:right="138"/>
        <w:jc w:val="both"/>
        <w:rPr>
          <w:rFonts w:ascii="Times New Roman" w:hAnsi="Times New Roman"/>
          <w:i/>
          <w:iCs/>
          <w:color w:val="auto"/>
          <w:spacing w:val="1"/>
          <w:sz w:val="22"/>
          <w:szCs w:val="22"/>
          <w:lang w:val="pt-BR"/>
        </w:rPr>
      </w:pPr>
      <w:r w:rsidRPr="00420778">
        <w:rPr>
          <w:rFonts w:ascii="Times New Roman" w:hAnsi="Times New Roman"/>
          <w:i/>
          <w:iCs/>
          <w:color w:val="auto"/>
          <w:spacing w:val="1"/>
          <w:sz w:val="22"/>
          <w:szCs w:val="22"/>
          <w:lang w:val="pt-BR"/>
        </w:rPr>
        <w:t>4. Entitatea Contractantă va solicita o singură dată ca un Ofertant să înlocuiască un Terț Susținător pentru care s-a demonstrat în urma evaluării că există motive de excludere.</w:t>
      </w:r>
    </w:p>
    <w:p w14:paraId="352E4442" w14:textId="77777777" w:rsidR="00CC186C" w:rsidRPr="00420778" w:rsidRDefault="00CC186C" w:rsidP="00986C6C">
      <w:pPr>
        <w:spacing w:line="276" w:lineRule="auto"/>
        <w:jc w:val="both"/>
        <w:rPr>
          <w:rFonts w:ascii="Times New Roman" w:hAnsi="Times New Roman" w:cs="Times New Roman"/>
          <w:lang w:val="pt-BR"/>
        </w:rPr>
      </w:pPr>
    </w:p>
    <w:p w14:paraId="44094EEF" w14:textId="35641C8F" w:rsidR="0075309A" w:rsidRPr="00024002" w:rsidRDefault="0075309A" w:rsidP="00986C6C">
      <w:pPr>
        <w:spacing w:line="276" w:lineRule="auto"/>
        <w:jc w:val="both"/>
        <w:rPr>
          <w:rFonts w:ascii="Times New Roman" w:hAnsi="Times New Roman" w:cs="Times New Roman"/>
          <w:lang w:val="pt-BR"/>
        </w:rPr>
      </w:pPr>
      <w:r w:rsidRPr="00024002">
        <w:rPr>
          <w:rFonts w:ascii="Times New Roman" w:hAnsi="Times New Roman" w:cs="Times New Roman"/>
          <w:lang w:val="pt-BR"/>
        </w:rPr>
        <w:t>Potențialii Ofertanți, rezidenți în Uniunea Europeană și în țările din Spațiul Economic European (SEE), pot utiliza site-ul web al Comisiei Europene disponibil la următoarea adresă: https://ec.europa.eu/tools/ecertis/search pentru a identifica documentele care urmează să fie prezentate ca documente justificative (dacă acestea sunt disponibile în țara respectivă).</w:t>
      </w:r>
    </w:p>
    <w:p w14:paraId="34260755" w14:textId="77777777" w:rsidR="0075309A" w:rsidRPr="00420778" w:rsidRDefault="0075309A" w:rsidP="00986C6C">
      <w:pPr>
        <w:spacing w:line="276" w:lineRule="auto"/>
        <w:jc w:val="both"/>
        <w:rPr>
          <w:rFonts w:ascii="Times New Roman" w:hAnsi="Times New Roman" w:cs="Times New Roman"/>
          <w:lang w:val="pt-BR"/>
        </w:rPr>
      </w:pPr>
      <w:r w:rsidRPr="00420778">
        <w:rPr>
          <w:rFonts w:ascii="Times New Roman" w:hAnsi="Times New Roman" w:cs="Times New Roman"/>
          <w:lang w:val="pt-BR"/>
        </w:rPr>
        <w:t>Operatorii Economici vor depune versiuni sau traduceri ale documentelor suport în limba procedurii specificată în secțiunea IV.2.4) a Anunțului de Participare, respectiv în limba romana.</w:t>
      </w:r>
    </w:p>
    <w:p w14:paraId="417FB93D" w14:textId="77777777" w:rsidR="00F57FA6" w:rsidRPr="00420778" w:rsidRDefault="00F57FA6" w:rsidP="00986C6C">
      <w:pPr>
        <w:spacing w:line="276" w:lineRule="auto"/>
        <w:ind w:right="1179"/>
        <w:jc w:val="both"/>
        <w:rPr>
          <w:rFonts w:ascii="Times New Roman" w:hAnsi="Times New Roman" w:cs="Times New Roman"/>
          <w:i/>
          <w:lang w:val="pt-BR"/>
        </w:rPr>
      </w:pPr>
    </w:p>
    <w:p w14:paraId="6E6A15A0" w14:textId="77A750CA" w:rsidR="00D0322D" w:rsidRPr="00420778" w:rsidRDefault="0011013F" w:rsidP="00E619A3">
      <w:pPr>
        <w:pStyle w:val="ListParagraph"/>
        <w:numPr>
          <w:ilvl w:val="0"/>
          <w:numId w:val="13"/>
        </w:numPr>
        <w:spacing w:line="276" w:lineRule="auto"/>
        <w:jc w:val="both"/>
        <w:rPr>
          <w:rFonts w:ascii="Times New Roman" w:hAnsi="Times New Roman" w:cs="Times New Roman"/>
          <w:highlight w:val="lightGray"/>
          <w:lang w:val="pt-BR"/>
        </w:rPr>
      </w:pPr>
      <w:r w:rsidRPr="00420778">
        <w:rPr>
          <w:rFonts w:ascii="Times New Roman" w:hAnsi="Times New Roman" w:cs="Times New Roman"/>
          <w:b/>
          <w:bCs/>
          <w:highlight w:val="lightGray"/>
          <w:u w:val="single"/>
          <w:lang w:val="pt-BR"/>
        </w:rPr>
        <w:t>Cap. III.1.6.a) Garantie de participare, din FDA, se completeaza cu urmatoarele precizari:</w:t>
      </w:r>
    </w:p>
    <w:p w14:paraId="44965BE9" w14:textId="621E82EC" w:rsidR="004E3FE4" w:rsidRPr="00986C6C" w:rsidRDefault="004E3FE4"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Garantia de participare se va constitui conform prevederilor art. 164 alin. (2) si alin. (4) din Legea nr. 99/2016 si ale art. 42 din HG nr. 394/2016.</w:t>
      </w:r>
    </w:p>
    <w:p w14:paraId="15CEBC9F" w14:textId="7E2C2E83" w:rsidR="004E3FE4" w:rsidRPr="00986C6C" w:rsidRDefault="004E3FE4"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Ofertantul (individual sau asociere) trebuie să prezinte împreună cu oferta, pana la data și ora-limită de depunere a ofertelor, o garanție de participare in cuantum de aproximativ 0,05% (conform art 164 alin. (2) din Legea nr. 99/2016) din valoarea estimata a contractului</w:t>
      </w:r>
      <w:r w:rsidR="00336339">
        <w:rPr>
          <w:rFonts w:ascii="Times New Roman" w:hAnsi="Times New Roman" w:cs="Times New Roman"/>
          <w:lang w:val="ro-RO"/>
        </w:rPr>
        <w:t>, in suma de</w:t>
      </w:r>
      <w:r w:rsidR="002504B2">
        <w:rPr>
          <w:rFonts w:ascii="Times New Roman" w:hAnsi="Times New Roman" w:cs="Times New Roman"/>
          <w:lang w:val="ro-RO"/>
        </w:rPr>
        <w:t xml:space="preserve"> </w:t>
      </w:r>
      <w:r w:rsidR="009262FD">
        <w:rPr>
          <w:rFonts w:ascii="Times New Roman" w:hAnsi="Times New Roman" w:cs="Times New Roman"/>
          <w:lang w:val="ro-RO"/>
        </w:rPr>
        <w:t>28300</w:t>
      </w:r>
      <w:r w:rsidR="004163D9" w:rsidRPr="004163D9">
        <w:rPr>
          <w:rFonts w:ascii="Times New Roman" w:hAnsi="Times New Roman" w:cs="Times New Roman"/>
          <w:lang w:val="ro-RO"/>
        </w:rPr>
        <w:t xml:space="preserve"> lei, </w:t>
      </w:r>
      <w:r w:rsidRPr="00986C6C">
        <w:rPr>
          <w:rFonts w:ascii="Times New Roman" w:hAnsi="Times New Roman" w:cs="Times New Roman"/>
          <w:lang w:val="ro-RO"/>
        </w:rPr>
        <w:t>valabilă pentru o perioadă de 180 de zile</w:t>
      </w:r>
      <w:r w:rsidR="0056568A">
        <w:rPr>
          <w:rFonts w:ascii="Times New Roman" w:hAnsi="Times New Roman" w:cs="Times New Roman"/>
          <w:lang w:val="ro-RO"/>
        </w:rPr>
        <w:t>,</w:t>
      </w:r>
      <w:r w:rsidR="00596CC7">
        <w:rPr>
          <w:rFonts w:ascii="Times New Roman" w:hAnsi="Times New Roman" w:cs="Times New Roman"/>
          <w:lang w:val="ro-RO"/>
        </w:rPr>
        <w:t xml:space="preserve"> </w:t>
      </w:r>
      <w:r w:rsidRPr="00986C6C">
        <w:rPr>
          <w:rFonts w:ascii="Times New Roman" w:hAnsi="Times New Roman" w:cs="Times New Roman"/>
          <w:lang w:val="ro-RO"/>
        </w:rPr>
        <w:t xml:space="preserve">calculate de la termenul comunicat pentru depunerea Ofertelor. </w:t>
      </w:r>
    </w:p>
    <w:p w14:paraId="63BBBAAB"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p>
    <w:p w14:paraId="099651BA" w14:textId="77777777" w:rsidR="009B542E" w:rsidRPr="00986C6C" w:rsidRDefault="009B542E" w:rsidP="00986C6C">
      <w:pPr>
        <w:tabs>
          <w:tab w:val="left" w:pos="1575"/>
        </w:tabs>
        <w:spacing w:after="120" w:line="276" w:lineRule="auto"/>
        <w:jc w:val="both"/>
        <w:rPr>
          <w:rFonts w:ascii="Times New Roman" w:hAnsi="Times New Roman" w:cs="Times New Roman"/>
          <w:b/>
          <w:bCs/>
          <w:lang w:val="ro-RO"/>
        </w:rPr>
      </w:pPr>
      <w:r w:rsidRPr="00986C6C">
        <w:rPr>
          <w:rFonts w:ascii="Times New Roman" w:hAnsi="Times New Roman" w:cs="Times New Roman"/>
          <w:b/>
          <w:bCs/>
          <w:lang w:val="ro-RO"/>
        </w:rPr>
        <w:t>Reguli privind modalitatea de constituire a garanției de participare conform art. 164 alin. (4) din Legea nr. 99/2016:</w:t>
      </w:r>
    </w:p>
    <w:p w14:paraId="66C9F39B"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 xml:space="preserve">Garanţia de participare trebuie să fie </w:t>
      </w:r>
      <w:r w:rsidRPr="00986C6C">
        <w:rPr>
          <w:rFonts w:ascii="Times New Roman" w:hAnsi="Times New Roman" w:cs="Times New Roman"/>
          <w:b/>
          <w:bCs/>
          <w:lang w:val="ro-RO"/>
        </w:rPr>
        <w:t>irevocabilă, necondiţionată</w:t>
      </w:r>
      <w:r w:rsidRPr="00986C6C">
        <w:rPr>
          <w:rFonts w:ascii="Times New Roman" w:hAnsi="Times New Roman" w:cs="Times New Roman"/>
          <w:lang w:val="ro-RO"/>
        </w:rPr>
        <w:t xml:space="preserve"> şi se constituie prin:</w:t>
      </w:r>
    </w:p>
    <w:p w14:paraId="6C93737F"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a)virament bancar;</w:t>
      </w:r>
    </w:p>
    <w:p w14:paraId="6FC2C871"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b)instrumente de garantare emise în condiţiile legii astfel:</w:t>
      </w:r>
    </w:p>
    <w:p w14:paraId="1E909A41"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(i) scrisori de garanţie emise de instituţii de credit bancare din România sau din alt stat;</w:t>
      </w:r>
    </w:p>
    <w:p w14:paraId="2C7A6530"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 xml:space="preserve">(ii) scrisori de garanţie emise de instituţii financiare nebancare din România sau din alt stat pentru </w:t>
      </w:r>
    </w:p>
    <w:p w14:paraId="6E88B767"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 xml:space="preserve">achiziţiile de lucrări a căror valoare estimată este mai mică sau egală cu 40.000.000 lei fără TVA şi </w:t>
      </w:r>
    </w:p>
    <w:p w14:paraId="0DF0E9E0"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 xml:space="preserve">respectiv pentru achiziţiile de produse sau servicii a căror valoare estimată este mai mică sau egală </w:t>
      </w:r>
    </w:p>
    <w:p w14:paraId="6E48E8CD"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cu 7.000.000 lei fără TVA;</w:t>
      </w:r>
    </w:p>
    <w:p w14:paraId="7E17E3AD"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(iii) asigurări de garanţii emise:</w:t>
      </w:r>
    </w:p>
    <w:p w14:paraId="75865091"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 xml:space="preserve">– fie de societăţi de asigurare care deţin autorizaţii de funcţionare emise în România sau într-un </w:t>
      </w:r>
    </w:p>
    <w:p w14:paraId="3CCDBA18"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 xml:space="preserve">alt stat membru al Uniunii Europene şi/sau care sunt înscrise în registrele publicate pe site-ul </w:t>
      </w:r>
    </w:p>
    <w:p w14:paraId="3B690874"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Autorităţii de Supraveghere Financiară, după caz;</w:t>
      </w:r>
    </w:p>
    <w:p w14:paraId="47762CE5"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 xml:space="preserve">– fie de societăţi de asigurare din state terţe prin sucursale autorizate în România de către </w:t>
      </w:r>
    </w:p>
    <w:p w14:paraId="1BA53678"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Autoritatea de Supraveghere Financiară;</w:t>
      </w:r>
    </w:p>
    <w:p w14:paraId="2C2754F0"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c)depunerea la casierie a unor sume în numerar dacă valoarea este mai mică de 5.000 lei;</w:t>
      </w:r>
    </w:p>
    <w:p w14:paraId="7BF24FA1"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w:t>
      </w:r>
    </w:p>
    <w:p w14:paraId="19E5C887"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lastRenderedPageBreak/>
        <w:t xml:space="preserve">Pentru garanția constituită prin transfer bancar, se va utiliza următorul cont: </w:t>
      </w:r>
      <w:r w:rsidRPr="00194EEC">
        <w:rPr>
          <w:rFonts w:ascii="Times New Roman" w:hAnsi="Times New Roman" w:cs="Times New Roman"/>
          <w:lang w:val="ro-RO"/>
        </w:rPr>
        <w:t xml:space="preserve">RO11 BRDE 270S V275 4041 2700 </w:t>
      </w:r>
      <w:r w:rsidRPr="00986C6C">
        <w:rPr>
          <w:rFonts w:ascii="Times New Roman" w:hAnsi="Times New Roman" w:cs="Times New Roman"/>
          <w:lang w:val="ro-RO"/>
        </w:rPr>
        <w:t>deschis la BRD Targu Mures, iar în detaliile tranzacției se va menționa numărul Anunțului de participare.</w:t>
      </w:r>
    </w:p>
    <w:p w14:paraId="1F4AB265"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Entitatea contractanta nu limitează posibilitatea de prezentare a instrumentelor de garantare numai la cele care sunt emise de către instituții de credit bancare, numai la cele care sunt emise de către instituții financiare nebancare sau numai la cele care sunt emise de către societăți de asigurări, dar recomanda Operatorilor economici consultarea Registrului Societăților de Asigurare și a Registrului Asigurătorilor și Intermediarilor din S.E.E (paginile web anterior amintite), supravegheate de Autoritatea de Supraveghere Financiară (ASF).</w:t>
      </w:r>
    </w:p>
    <w:p w14:paraId="0FAA8DE2"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Acolo unde un instrument de garantare este utilizat ca modalitate de constituire a garanției de participare, acesta trebuie să fie:</w:t>
      </w:r>
    </w:p>
    <w:p w14:paraId="1D11CBA1"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i. emis fie ca "scrisoare de garanție bancară" sau ca „asigurare de garanție”,</w:t>
      </w:r>
    </w:p>
    <w:p w14:paraId="4EBD9FA0"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ii. transmis împreună cu Oferta și celelalte documente ale acesteia, cel mai târziu la data și ora-limită de depunere a Ofertelor</w:t>
      </w:r>
    </w:p>
    <w:p w14:paraId="5BA1A98B"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iii. în suma și moneda indicată,</w:t>
      </w:r>
    </w:p>
    <w:p w14:paraId="63F23354"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iv. valabil pentru perioada indicată,</w:t>
      </w:r>
    </w:p>
    <w:p w14:paraId="5DA804B1" w14:textId="7777777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v. irevocabil,</w:t>
      </w:r>
    </w:p>
    <w:p w14:paraId="5AE668D1" w14:textId="11C8D8B7" w:rsidR="009B542E" w:rsidRPr="00986C6C" w:rsidRDefault="009B542E"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vi. în formă necondiționată, și anume instrumentul de garantare trebuie să prevadă că plata se va realiza necondiționat, la prima solicitare a Entității Contractante pe baza declarației sale, în calitate de beneficiar al instrumentului de garantare, dacă Ofertantul se află în una dintre situațiile care determină reținerea garanției de participare.</w:t>
      </w:r>
    </w:p>
    <w:p w14:paraId="6626CC7A" w14:textId="77777777" w:rsidR="004E3FE4" w:rsidRPr="00986C6C" w:rsidRDefault="004E3FE4" w:rsidP="00986C6C">
      <w:pPr>
        <w:tabs>
          <w:tab w:val="left" w:pos="1575"/>
        </w:tabs>
        <w:spacing w:after="120" w:line="276" w:lineRule="auto"/>
        <w:jc w:val="both"/>
        <w:rPr>
          <w:rFonts w:ascii="Times New Roman" w:hAnsi="Times New Roman" w:cs="Times New Roman"/>
          <w:lang w:val="ro-RO"/>
        </w:rPr>
      </w:pPr>
    </w:p>
    <w:p w14:paraId="48C2314D" w14:textId="77777777" w:rsidR="00D0322D" w:rsidRPr="00986C6C" w:rsidRDefault="00D0322D"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Pentru constituirea garanției de participare de către Operatori Economici din afara României, pentru conversie dintr-o altă monedă, se va utiliza cursul de schimb valutar publicat de Banca Națională a României (www.bnr.ro) valabilă data publicării Anunțului de participare în SEAP.</w:t>
      </w:r>
    </w:p>
    <w:p w14:paraId="5CEA45CA" w14:textId="77777777" w:rsidR="00D0322D" w:rsidRPr="00986C6C" w:rsidRDefault="00D0322D"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Orice prelungire a perioadei de valabilitate a Ofertei solicitată de către Entitatea Contractantă și acceptată de către Ofertant presupune o prelungire a perioadei de valabilitate a garanției de participare.</w:t>
      </w:r>
    </w:p>
    <w:p w14:paraId="22844906" w14:textId="77777777" w:rsidR="00D0322D" w:rsidRPr="00986C6C" w:rsidRDefault="00D0322D"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O Ofertă care nu este însoțită de dovada constituirii garanției de participare conform instrucțiunilor, va fi respinsă de către Entitatea Contractantă la momentul deschiderii ofertelor după expirarea termenului de transmitere a Ofertelor.</w:t>
      </w:r>
    </w:p>
    <w:p w14:paraId="47F24192" w14:textId="77777777" w:rsidR="00D0322D" w:rsidRPr="00986C6C" w:rsidRDefault="00D0322D" w:rsidP="00986C6C">
      <w:pPr>
        <w:tabs>
          <w:tab w:val="left" w:pos="1575"/>
        </w:tabs>
        <w:spacing w:after="120" w:line="276" w:lineRule="auto"/>
        <w:jc w:val="both"/>
        <w:rPr>
          <w:rFonts w:ascii="Times New Roman" w:hAnsi="Times New Roman" w:cs="Times New Roman"/>
          <w:lang w:val="ro-RO"/>
        </w:rPr>
      </w:pPr>
      <w:r w:rsidRPr="00986C6C">
        <w:rPr>
          <w:rFonts w:ascii="Times New Roman" w:hAnsi="Times New Roman" w:cs="Times New Roman"/>
          <w:lang w:val="ro-RO"/>
        </w:rPr>
        <w:t>Oferta nu este respinsă la momentul deschiderii acesteia atunci când garanția de participare constituită ca instrument de garantare este prezentată conform instrucțiunilor, dar sub altă formă, sumă sau perioadă de valabilitate decât cele solicitate. În situația în care Ofertantul nu remediază, la solicitarea Entității Contractante sau din proprie inițiativă aspectele legate de forma, suma sau perioada de valabilitate a instrumentului de garantare în termen de cel mult 3 zile lucrătoare de la solicitarea Entității Contractante, Oferta prezentată este considerată inacceptabilă și nu mai este luată în considerare în procesul de evaluare.</w:t>
      </w:r>
    </w:p>
    <w:p w14:paraId="77CE5011" w14:textId="77777777" w:rsidR="00E71AC9" w:rsidRPr="00986C6C" w:rsidRDefault="00E71AC9" w:rsidP="00986C6C">
      <w:pPr>
        <w:spacing w:line="276" w:lineRule="auto"/>
        <w:jc w:val="both"/>
        <w:rPr>
          <w:rFonts w:ascii="Times New Roman" w:hAnsi="Times New Roman" w:cs="Times New Roman"/>
          <w:b/>
          <w:bCs/>
          <w:lang w:val="ro-RO"/>
        </w:rPr>
      </w:pPr>
      <w:r w:rsidRPr="00986C6C">
        <w:rPr>
          <w:rFonts w:ascii="Times New Roman" w:hAnsi="Times New Roman" w:cs="Times New Roman"/>
          <w:b/>
          <w:bCs/>
          <w:lang w:val="ro-RO"/>
        </w:rPr>
        <w:t xml:space="preserve">Entitatea contractantă nu poate accepta constituirea garanției de participare/de bună execuție printr-un instrument de garantare emis de o instituție financiară nebancară, conform NOTIFICARE </w:t>
      </w:r>
      <w:r w:rsidRPr="00986C6C">
        <w:rPr>
          <w:rFonts w:ascii="Times New Roman" w:hAnsi="Times New Roman" w:cs="Times New Roman"/>
          <w:b/>
          <w:bCs/>
          <w:lang w:val="ro-RO"/>
        </w:rPr>
        <w:lastRenderedPageBreak/>
        <w:t>privind acceptarea în procedurile de achiziție publică/sectorială a garanțiilor de participare/de bună execuție emise de către instituțiile financiare nebancare, emisa de ANAP in 10.01.2022</w:t>
      </w:r>
    </w:p>
    <w:p w14:paraId="645C5EAB" w14:textId="2A4D6FFF" w:rsidR="00DA43B0" w:rsidRPr="00986C6C" w:rsidRDefault="00DA43B0" w:rsidP="00986C6C">
      <w:pPr>
        <w:spacing w:line="276" w:lineRule="auto"/>
        <w:jc w:val="both"/>
        <w:rPr>
          <w:rFonts w:ascii="Times New Roman" w:hAnsi="Times New Roman" w:cs="Times New Roman"/>
          <w:lang w:val="ro-RO"/>
        </w:rPr>
      </w:pPr>
      <w:r w:rsidRPr="00986C6C">
        <w:rPr>
          <w:rFonts w:ascii="Times New Roman" w:hAnsi="Times New Roman" w:cs="Times New Roman"/>
          <w:lang w:val="ro-RO"/>
        </w:rPr>
        <w:t>Restituirea garanției de participare se realizează potrivit prevederilor art. 164^1 din Legea 99/2016.</w:t>
      </w:r>
    </w:p>
    <w:p w14:paraId="33CA6870" w14:textId="0F15D154" w:rsidR="00D0322D" w:rsidRPr="00596CC7" w:rsidRDefault="00DA43B0" w:rsidP="00986C6C">
      <w:pPr>
        <w:spacing w:line="276" w:lineRule="auto"/>
        <w:jc w:val="both"/>
        <w:rPr>
          <w:rFonts w:ascii="Times New Roman" w:hAnsi="Times New Roman" w:cs="Times New Roman"/>
          <w:lang w:val="ro-RO"/>
        </w:rPr>
      </w:pPr>
      <w:r w:rsidRPr="00986C6C">
        <w:rPr>
          <w:rFonts w:ascii="Times New Roman" w:hAnsi="Times New Roman" w:cs="Times New Roman"/>
          <w:lang w:val="ro-RO"/>
        </w:rPr>
        <w:t>Incadrarea in prevederile art. 43 alin (1) lit. a) b), b1) si c) din HGR nr. 394/2016 da dreptul entitatii contractante de a retine garantia de participare.</w:t>
      </w:r>
    </w:p>
    <w:p w14:paraId="771567D3" w14:textId="77777777" w:rsidR="00D0322D" w:rsidRPr="00420778" w:rsidRDefault="00D0322D" w:rsidP="00986C6C">
      <w:pPr>
        <w:pStyle w:val="ListParagraph"/>
        <w:spacing w:line="276" w:lineRule="auto"/>
        <w:ind w:left="945"/>
        <w:jc w:val="both"/>
        <w:rPr>
          <w:rFonts w:ascii="Times New Roman" w:hAnsi="Times New Roman" w:cs="Times New Roman"/>
          <w:lang w:val="pt-BR"/>
        </w:rPr>
      </w:pPr>
    </w:p>
    <w:p w14:paraId="17EC88B2" w14:textId="17077BA9" w:rsidR="00FB42A5" w:rsidRPr="00986C6C" w:rsidRDefault="00FB42A5" w:rsidP="00E619A3">
      <w:pPr>
        <w:pStyle w:val="Heading4"/>
        <w:numPr>
          <w:ilvl w:val="0"/>
          <w:numId w:val="13"/>
        </w:numPr>
        <w:spacing w:before="0" w:beforeAutospacing="0" w:after="0" w:afterAutospacing="0" w:line="276" w:lineRule="auto"/>
        <w:ind w:right="225"/>
        <w:jc w:val="both"/>
        <w:rPr>
          <w:sz w:val="22"/>
          <w:szCs w:val="22"/>
          <w:u w:val="single"/>
          <w:lang w:val="ro-RO"/>
        </w:rPr>
      </w:pPr>
      <w:r w:rsidRPr="00986C6C">
        <w:rPr>
          <w:sz w:val="22"/>
          <w:szCs w:val="22"/>
          <w:highlight w:val="lightGray"/>
          <w:u w:val="single"/>
          <w:lang w:val="ro-RO"/>
        </w:rPr>
        <w:t>Cap. III.1.6.b) Garantie de buna executie, din FDA, se completeaza cu urmatoarele precizari:</w:t>
      </w:r>
    </w:p>
    <w:p w14:paraId="6844C6A4" w14:textId="77777777" w:rsidR="00FB42A5" w:rsidRPr="00986C6C" w:rsidRDefault="00FB42A5" w:rsidP="00986C6C">
      <w:pPr>
        <w:spacing w:line="276" w:lineRule="auto"/>
        <w:jc w:val="both"/>
        <w:rPr>
          <w:rFonts w:ascii="Times New Roman" w:hAnsi="Times New Roman" w:cs="Times New Roman"/>
          <w:lang w:val="ro-RO"/>
        </w:rPr>
      </w:pPr>
    </w:p>
    <w:p w14:paraId="31856156" w14:textId="77777777" w:rsidR="00FB42A5" w:rsidRPr="00986C6C" w:rsidRDefault="00FB42A5" w:rsidP="00986C6C">
      <w:pPr>
        <w:pStyle w:val="Header"/>
        <w:tabs>
          <w:tab w:val="left" w:pos="708"/>
        </w:tabs>
        <w:spacing w:line="276" w:lineRule="auto"/>
        <w:ind w:right="468"/>
        <w:jc w:val="both"/>
        <w:rPr>
          <w:rFonts w:ascii="Times New Roman" w:hAnsi="Times New Roman" w:cs="Times New Roman"/>
          <w:i/>
          <w:iCs/>
          <w:lang w:val="ro-RO"/>
        </w:rPr>
      </w:pPr>
      <w:r w:rsidRPr="00986C6C">
        <w:rPr>
          <w:rFonts w:ascii="Times New Roman" w:hAnsi="Times New Roman" w:cs="Times New Roman"/>
          <w:lang w:val="ro-RO"/>
        </w:rPr>
        <w:t>Conform prevederilor art. 164 alin (4) din Legea 99/2016, „</w:t>
      </w:r>
      <w:r w:rsidRPr="00986C6C">
        <w:rPr>
          <w:rFonts w:ascii="Times New Roman" w:hAnsi="Times New Roman" w:cs="Times New Roman"/>
          <w:i/>
          <w:iCs/>
          <w:lang w:val="ro-RO"/>
        </w:rPr>
        <w:t xml:space="preserve">Garanția de bună execuție trebuie să fie </w:t>
      </w:r>
      <w:r w:rsidRPr="00986C6C">
        <w:rPr>
          <w:rFonts w:ascii="Times New Roman" w:hAnsi="Times New Roman" w:cs="Times New Roman"/>
          <w:i/>
          <w:iCs/>
          <w:u w:val="single"/>
          <w:lang w:val="ro-RO"/>
        </w:rPr>
        <w:t>irevocabilă, necondiţionată</w:t>
      </w:r>
      <w:r w:rsidRPr="00986C6C">
        <w:rPr>
          <w:rFonts w:ascii="Times New Roman" w:hAnsi="Times New Roman" w:cs="Times New Roman"/>
          <w:i/>
          <w:iCs/>
          <w:lang w:val="ro-RO"/>
        </w:rPr>
        <w:t xml:space="preserve"> şi se constituie prin: </w:t>
      </w:r>
    </w:p>
    <w:p w14:paraId="64F3FF53" w14:textId="77777777" w:rsidR="00FB42A5" w:rsidRPr="00986C6C" w:rsidRDefault="00FB42A5" w:rsidP="00986C6C">
      <w:pPr>
        <w:pStyle w:val="Header"/>
        <w:tabs>
          <w:tab w:val="left" w:pos="708"/>
        </w:tabs>
        <w:spacing w:line="276" w:lineRule="auto"/>
        <w:ind w:right="468"/>
        <w:jc w:val="both"/>
        <w:rPr>
          <w:rFonts w:ascii="Times New Roman" w:hAnsi="Times New Roman" w:cs="Times New Roman"/>
          <w:lang w:val="ro-RO"/>
        </w:rPr>
      </w:pPr>
      <w:r w:rsidRPr="00986C6C">
        <w:rPr>
          <w:rFonts w:ascii="Times New Roman" w:hAnsi="Times New Roman" w:cs="Times New Roman"/>
          <w:lang w:val="ro-RO"/>
        </w:rPr>
        <w:t>a) virament bancar;</w:t>
      </w:r>
    </w:p>
    <w:p w14:paraId="7F97003F" w14:textId="77777777" w:rsidR="00FB42A5" w:rsidRPr="00986C6C" w:rsidRDefault="00FB42A5" w:rsidP="00986C6C">
      <w:pPr>
        <w:pStyle w:val="Header"/>
        <w:tabs>
          <w:tab w:val="left" w:pos="708"/>
        </w:tabs>
        <w:spacing w:line="276" w:lineRule="auto"/>
        <w:ind w:right="468"/>
        <w:jc w:val="both"/>
        <w:rPr>
          <w:rFonts w:ascii="Times New Roman" w:hAnsi="Times New Roman" w:cs="Times New Roman"/>
          <w:lang w:val="ro-RO"/>
        </w:rPr>
      </w:pPr>
      <w:r w:rsidRPr="00986C6C">
        <w:rPr>
          <w:rFonts w:ascii="Times New Roman" w:hAnsi="Times New Roman" w:cs="Times New Roman"/>
          <w:lang w:val="ro-RO"/>
        </w:rPr>
        <w:t>b) instrumente de garantare emise in conditiile legii astfel:</w:t>
      </w:r>
    </w:p>
    <w:p w14:paraId="5EF15CB5" w14:textId="77777777" w:rsidR="00FB42A5" w:rsidRPr="00986C6C" w:rsidRDefault="00FB42A5" w:rsidP="00986C6C">
      <w:pPr>
        <w:pStyle w:val="Header"/>
        <w:tabs>
          <w:tab w:val="left" w:pos="708"/>
        </w:tabs>
        <w:spacing w:line="276" w:lineRule="auto"/>
        <w:ind w:right="468"/>
        <w:jc w:val="both"/>
        <w:rPr>
          <w:rFonts w:ascii="Times New Roman" w:hAnsi="Times New Roman" w:cs="Times New Roman"/>
          <w:lang w:val="ro-RO"/>
        </w:rPr>
      </w:pPr>
      <w:r w:rsidRPr="00986C6C">
        <w:rPr>
          <w:rFonts w:ascii="Times New Roman" w:hAnsi="Times New Roman" w:cs="Times New Roman"/>
          <w:lang w:val="ro-RO"/>
        </w:rPr>
        <w:t>(i)scrisori de garantie emise de institutii de credit bancare din Romania sau din alt stat;</w:t>
      </w:r>
    </w:p>
    <w:p w14:paraId="6C7E7447" w14:textId="77777777" w:rsidR="00FB42A5" w:rsidRPr="00986C6C" w:rsidRDefault="00FB42A5" w:rsidP="00986C6C">
      <w:pPr>
        <w:pStyle w:val="Header"/>
        <w:tabs>
          <w:tab w:val="left" w:pos="708"/>
        </w:tabs>
        <w:spacing w:line="276" w:lineRule="auto"/>
        <w:ind w:right="468"/>
        <w:jc w:val="both"/>
        <w:rPr>
          <w:rFonts w:ascii="Times New Roman" w:hAnsi="Times New Roman" w:cs="Times New Roman"/>
          <w:lang w:val="ro-RO"/>
        </w:rPr>
      </w:pPr>
      <w:r w:rsidRPr="00986C6C">
        <w:rPr>
          <w:rFonts w:ascii="Times New Roman" w:hAnsi="Times New Roman" w:cs="Times New Roman"/>
          <w:lang w:val="ro-RO"/>
        </w:rPr>
        <w:t>(ii)scrisori de garantie emise de institutii financiare nebancare din Romania sau din alt stat pentru achizitiile de lucrari a caror valoare estimata este mai mica sau egala cu 40.000.000 lei fara TVA si respectiv pentru achizitiile de produse sau servicii a caror valoare estimata este mai mica sau egala cu 7.000.000 lei fara TVA;</w:t>
      </w:r>
    </w:p>
    <w:p w14:paraId="4A3FB08B" w14:textId="77777777" w:rsidR="00FB42A5" w:rsidRPr="00986C6C" w:rsidRDefault="00FB42A5" w:rsidP="00986C6C">
      <w:pPr>
        <w:pStyle w:val="Header"/>
        <w:tabs>
          <w:tab w:val="left" w:pos="708"/>
        </w:tabs>
        <w:spacing w:line="276" w:lineRule="auto"/>
        <w:ind w:right="468"/>
        <w:jc w:val="both"/>
        <w:rPr>
          <w:rFonts w:ascii="Times New Roman" w:hAnsi="Times New Roman" w:cs="Times New Roman"/>
          <w:lang w:val="sv-SE"/>
        </w:rPr>
      </w:pPr>
      <w:r w:rsidRPr="00986C6C">
        <w:rPr>
          <w:rFonts w:ascii="Times New Roman" w:hAnsi="Times New Roman" w:cs="Times New Roman"/>
          <w:lang w:val="sv-SE"/>
        </w:rPr>
        <w:t>(iii)asigurari de garantii emise:</w:t>
      </w:r>
    </w:p>
    <w:p w14:paraId="08649BF1" w14:textId="77777777" w:rsidR="00FB42A5" w:rsidRPr="00986C6C" w:rsidRDefault="00FB42A5" w:rsidP="00986C6C">
      <w:pPr>
        <w:pStyle w:val="Header"/>
        <w:tabs>
          <w:tab w:val="left" w:pos="708"/>
        </w:tabs>
        <w:spacing w:line="276" w:lineRule="auto"/>
        <w:ind w:right="468"/>
        <w:jc w:val="both"/>
        <w:rPr>
          <w:rFonts w:ascii="Times New Roman" w:hAnsi="Times New Roman" w:cs="Times New Roman"/>
          <w:lang w:val="sv-SE"/>
        </w:rPr>
      </w:pPr>
      <w:r w:rsidRPr="00986C6C">
        <w:rPr>
          <w:rFonts w:ascii="Times New Roman" w:hAnsi="Times New Roman" w:cs="Times New Roman"/>
          <w:lang w:val="sv-SE"/>
        </w:rPr>
        <w:t>– fie de societati de asigurare care detin autorizatii de functionare emise in Romania sau intr-un alt stat membru al Uniunii Europene si/sau care sunt inscrise in registrele publicate pe site-ul Autoritatii de Supraveghere Financiara, dupa caz;</w:t>
      </w:r>
    </w:p>
    <w:p w14:paraId="16BF1F0E" w14:textId="77777777" w:rsidR="00FB42A5" w:rsidRPr="00986C6C" w:rsidRDefault="00FB42A5" w:rsidP="00986C6C">
      <w:pPr>
        <w:pStyle w:val="Header"/>
        <w:tabs>
          <w:tab w:val="left" w:pos="708"/>
        </w:tabs>
        <w:spacing w:line="276" w:lineRule="auto"/>
        <w:ind w:right="468"/>
        <w:jc w:val="both"/>
        <w:rPr>
          <w:rFonts w:ascii="Times New Roman" w:hAnsi="Times New Roman" w:cs="Times New Roman"/>
          <w:lang w:val="sv-SE"/>
        </w:rPr>
      </w:pPr>
      <w:r w:rsidRPr="00986C6C">
        <w:rPr>
          <w:rFonts w:ascii="Times New Roman" w:hAnsi="Times New Roman" w:cs="Times New Roman"/>
          <w:lang w:val="sv-SE"/>
        </w:rPr>
        <w:t>– fie de societati de asigurare din state terte prin sucursale autorizate in România de catre Autoritatea de Supraveghere Financiara;</w:t>
      </w:r>
    </w:p>
    <w:p w14:paraId="3D171FE6" w14:textId="77777777" w:rsidR="00FB42A5" w:rsidRPr="00986C6C" w:rsidRDefault="00FB42A5" w:rsidP="00986C6C">
      <w:pPr>
        <w:pStyle w:val="Header"/>
        <w:tabs>
          <w:tab w:val="left" w:pos="708"/>
        </w:tabs>
        <w:spacing w:line="276" w:lineRule="auto"/>
        <w:ind w:right="468"/>
        <w:jc w:val="both"/>
        <w:rPr>
          <w:rFonts w:ascii="Times New Roman" w:hAnsi="Times New Roman" w:cs="Times New Roman"/>
          <w:lang w:val="sv-SE"/>
        </w:rPr>
      </w:pPr>
      <w:r w:rsidRPr="00986C6C">
        <w:rPr>
          <w:rFonts w:ascii="Times New Roman" w:hAnsi="Times New Roman" w:cs="Times New Roman"/>
          <w:lang w:val="sv-SE"/>
        </w:rPr>
        <w:t>c) depunerea la casierie a unor sume în numerar daca valoarea este mai mica de 5.000 lei – NU ESTE CAZUL;</w:t>
      </w:r>
    </w:p>
    <w:p w14:paraId="3B2F7CCB" w14:textId="77777777" w:rsidR="00FB42A5" w:rsidRPr="00420778" w:rsidRDefault="00FB42A5" w:rsidP="00986C6C">
      <w:pPr>
        <w:pStyle w:val="Header"/>
        <w:tabs>
          <w:tab w:val="left" w:pos="708"/>
        </w:tabs>
        <w:spacing w:line="276" w:lineRule="auto"/>
        <w:ind w:right="468"/>
        <w:jc w:val="both"/>
        <w:rPr>
          <w:rFonts w:ascii="Times New Roman" w:hAnsi="Times New Roman" w:cs="Times New Roman"/>
          <w:lang w:val="pt-BR"/>
        </w:rPr>
      </w:pPr>
      <w:r w:rsidRPr="00420778">
        <w:rPr>
          <w:rFonts w:ascii="Times New Roman" w:hAnsi="Times New Roman" w:cs="Times New Roman"/>
          <w:lang w:val="pt-BR"/>
        </w:rPr>
        <w:t>d) retineri succesive din sumele datorate pentru facturi partiale, in cazul garantiei de buna executie;</w:t>
      </w:r>
    </w:p>
    <w:p w14:paraId="27D3411A" w14:textId="77777777" w:rsidR="00FB42A5" w:rsidRPr="00420778" w:rsidRDefault="00FB42A5" w:rsidP="00986C6C">
      <w:pPr>
        <w:pStyle w:val="Header"/>
        <w:tabs>
          <w:tab w:val="left" w:pos="708"/>
        </w:tabs>
        <w:spacing w:line="276" w:lineRule="auto"/>
        <w:ind w:right="468"/>
        <w:jc w:val="both"/>
        <w:rPr>
          <w:rFonts w:ascii="Times New Roman" w:hAnsi="Times New Roman" w:cs="Times New Roman"/>
          <w:lang w:val="pt-BR"/>
        </w:rPr>
      </w:pPr>
      <w:r w:rsidRPr="00420778">
        <w:rPr>
          <w:rFonts w:ascii="Times New Roman" w:hAnsi="Times New Roman" w:cs="Times New Roman"/>
          <w:lang w:val="pt-BR"/>
        </w:rPr>
        <w:t>e) combinarea a doua sau mai multe dintre modalitatile de constituire prevazute la lit. a)-c), in cazul garantiei de buna executie.</w:t>
      </w:r>
    </w:p>
    <w:p w14:paraId="6E75559D" w14:textId="77777777" w:rsidR="00FB42A5" w:rsidRPr="00420778" w:rsidRDefault="00FB42A5" w:rsidP="00986C6C">
      <w:pPr>
        <w:pStyle w:val="Header"/>
        <w:tabs>
          <w:tab w:val="left" w:pos="708"/>
        </w:tabs>
        <w:spacing w:line="276" w:lineRule="auto"/>
        <w:ind w:right="468"/>
        <w:jc w:val="both"/>
        <w:rPr>
          <w:rFonts w:ascii="Times New Roman" w:hAnsi="Times New Roman" w:cs="Times New Roman"/>
          <w:i/>
          <w:iCs/>
          <w:lang w:val="pt-BR"/>
        </w:rPr>
      </w:pPr>
    </w:p>
    <w:p w14:paraId="266259B4" w14:textId="77777777" w:rsidR="00FB42A5" w:rsidRPr="00420778" w:rsidRDefault="00FB42A5" w:rsidP="00986C6C">
      <w:pPr>
        <w:pStyle w:val="Header"/>
        <w:tabs>
          <w:tab w:val="left" w:pos="708"/>
        </w:tabs>
        <w:spacing w:line="276" w:lineRule="auto"/>
        <w:ind w:right="468"/>
        <w:jc w:val="both"/>
        <w:rPr>
          <w:rFonts w:ascii="Times New Roman" w:hAnsi="Times New Roman" w:cs="Times New Roman"/>
          <w:b/>
          <w:bCs/>
          <w:i/>
          <w:iCs/>
          <w:u w:val="single"/>
          <w:lang w:val="pt-BR"/>
        </w:rPr>
      </w:pPr>
    </w:p>
    <w:p w14:paraId="26181700" w14:textId="77777777" w:rsidR="00FB42A5" w:rsidRPr="00986C6C" w:rsidRDefault="00FB42A5" w:rsidP="00986C6C">
      <w:pPr>
        <w:spacing w:after="120" w:line="276" w:lineRule="auto"/>
        <w:jc w:val="both"/>
        <w:rPr>
          <w:rFonts w:ascii="Times New Roman" w:hAnsi="Times New Roman" w:cs="Times New Roman"/>
          <w:lang w:val="ro-RO"/>
        </w:rPr>
      </w:pPr>
      <w:r w:rsidRPr="00986C6C">
        <w:rPr>
          <w:rFonts w:ascii="Times New Roman" w:hAnsi="Times New Roman" w:cs="Times New Roman"/>
          <w:lang w:val="ro-RO"/>
        </w:rPr>
        <w:t>Garanția de bună execuție constituită conform prevederilor art. 164 alin. (4) din Lege devine anexă la contract, prevederile art. 42 alin. (5) aplicându-se în mod corespunzător.</w:t>
      </w:r>
    </w:p>
    <w:p w14:paraId="05370EDB" w14:textId="77777777" w:rsidR="00FB42A5" w:rsidRPr="00986C6C" w:rsidRDefault="00FB42A5" w:rsidP="00986C6C">
      <w:pPr>
        <w:spacing w:after="120" w:line="276" w:lineRule="auto"/>
        <w:jc w:val="both"/>
        <w:rPr>
          <w:rFonts w:ascii="Times New Roman" w:hAnsi="Times New Roman" w:cs="Times New Roman"/>
          <w:lang w:val="ro-RO"/>
        </w:rPr>
      </w:pPr>
      <w:r w:rsidRPr="00986C6C">
        <w:rPr>
          <w:rFonts w:ascii="Times New Roman" w:hAnsi="Times New Roman" w:cs="Times New Roman"/>
          <w:lang w:val="ro-RO"/>
        </w:rPr>
        <w:t>În cazul prevăzut la art. 164 alin. (4) lit. d) din Lege, Contractantul are obligația de a deschide un cont la dispoziția entității contractante, la o instituție de credit bancară agreată de ambele părți.</w:t>
      </w:r>
    </w:p>
    <w:p w14:paraId="2C418F59" w14:textId="77777777" w:rsidR="00FB42A5" w:rsidRPr="00986C6C" w:rsidRDefault="00FB42A5" w:rsidP="00986C6C">
      <w:pPr>
        <w:spacing w:after="120" w:line="276" w:lineRule="auto"/>
        <w:jc w:val="both"/>
        <w:rPr>
          <w:rFonts w:ascii="Times New Roman" w:hAnsi="Times New Roman" w:cs="Times New Roman"/>
          <w:lang w:val="ro-RO"/>
        </w:rPr>
      </w:pPr>
      <w:r w:rsidRPr="00986C6C">
        <w:rPr>
          <w:rFonts w:ascii="Times New Roman" w:hAnsi="Times New Roman" w:cs="Times New Roman"/>
          <w:lang w:val="ro-RO"/>
        </w:rPr>
        <w:t>In cazul asocierii garanția de buna executie va fi constituita in numele asocierii si se va mentiona ca acopera in mod solidar toti membrii grupului de operatori.</w:t>
      </w:r>
    </w:p>
    <w:p w14:paraId="6A250E1D" w14:textId="77777777" w:rsidR="00FB42A5" w:rsidRPr="00986C6C" w:rsidRDefault="00FB42A5" w:rsidP="00986C6C">
      <w:pPr>
        <w:spacing w:after="120" w:line="276" w:lineRule="auto"/>
        <w:jc w:val="both"/>
        <w:rPr>
          <w:rFonts w:ascii="Times New Roman" w:hAnsi="Times New Roman" w:cs="Times New Roman"/>
          <w:lang w:val="ro-RO"/>
        </w:rPr>
      </w:pPr>
    </w:p>
    <w:p w14:paraId="2A9B6500" w14:textId="77777777" w:rsidR="00FB42A5" w:rsidRPr="00986C6C" w:rsidRDefault="00FB42A5" w:rsidP="00986C6C">
      <w:pPr>
        <w:spacing w:after="120" w:line="276" w:lineRule="auto"/>
        <w:jc w:val="both"/>
        <w:rPr>
          <w:rFonts w:ascii="Times New Roman" w:hAnsi="Times New Roman" w:cs="Times New Roman"/>
          <w:i/>
          <w:iCs/>
          <w:lang w:val="ro-RO"/>
        </w:rPr>
      </w:pPr>
      <w:r w:rsidRPr="00986C6C">
        <w:rPr>
          <w:rFonts w:ascii="Times New Roman" w:hAnsi="Times New Roman" w:cs="Times New Roman"/>
          <w:b/>
          <w:bCs/>
          <w:lang w:val="ro-RO"/>
        </w:rPr>
        <w:t>Nota</w:t>
      </w:r>
      <w:r w:rsidRPr="00986C6C">
        <w:rPr>
          <w:rFonts w:ascii="Times New Roman" w:hAnsi="Times New Roman" w:cs="Times New Roman"/>
          <w:lang w:val="ro-RO"/>
        </w:rPr>
        <w:t xml:space="preserve">: </w:t>
      </w:r>
      <w:r w:rsidRPr="00986C6C">
        <w:rPr>
          <w:rFonts w:ascii="Times New Roman" w:hAnsi="Times New Roman" w:cs="Times New Roman"/>
          <w:i/>
          <w:iCs/>
          <w:lang w:val="ro-RO"/>
        </w:rPr>
        <w:t xml:space="preserve">Având în vedere Notificarea ANAP din 5.08.2022 cu privire la societățile de asigurare și instituțiile de credit, precizam urmatoarele: “In aplicarea prevederilor art. 42 alin. (1) lit. b) și 46 alin. (1) lit. b) din </w:t>
      </w:r>
      <w:r w:rsidRPr="00986C6C">
        <w:rPr>
          <w:rFonts w:ascii="Times New Roman" w:hAnsi="Times New Roman" w:cs="Times New Roman"/>
          <w:i/>
          <w:iCs/>
          <w:lang w:val="ro-RO"/>
        </w:rPr>
        <w:lastRenderedPageBreak/>
        <w:t>Anexa la Hotărârea Guvernului nr. 394/20162, societățile de asigurare supravegheate de Autoritatea de Supraveghere Financiară (ASF) și care au dreptul să desfășoare activități de asigurare pe teritoriul României, cât și entitățile notificate care au dreptul să desfășoare activități de asigurare pe teritoriul României prin intermediul libertății de a presta servicii sau în baza dreptului de stabilire, pot fi verificate prin consultarea Registrului Societăților de Asigurare și a Registrului Asigurătorilor și Intermediarilor din S.E.E. accesând următoarele linkuri:</w:t>
      </w:r>
    </w:p>
    <w:p w14:paraId="267E6B25" w14:textId="77777777" w:rsidR="00FB42A5" w:rsidRPr="00986C6C" w:rsidRDefault="00FB42A5" w:rsidP="00986C6C">
      <w:pPr>
        <w:spacing w:after="120" w:line="276" w:lineRule="auto"/>
        <w:jc w:val="both"/>
        <w:rPr>
          <w:rFonts w:ascii="Times New Roman" w:hAnsi="Times New Roman" w:cs="Times New Roman"/>
          <w:i/>
          <w:iCs/>
          <w:lang w:val="ro-RO"/>
        </w:rPr>
      </w:pPr>
      <w:hyperlink r:id="rId10" w:history="1">
        <w:r w:rsidRPr="00986C6C">
          <w:rPr>
            <w:rStyle w:val="Hyperlink"/>
            <w:rFonts w:ascii="Times New Roman" w:hAnsi="Times New Roman" w:cs="Times New Roman"/>
            <w:i/>
            <w:iCs/>
            <w:lang w:val="ro-RO"/>
          </w:rPr>
          <w:t>https://asfromania.ro/app.php/ro/a/1542/asigurători-și-intermediari-principali</w:t>
        </w:r>
      </w:hyperlink>
      <w:r w:rsidRPr="00986C6C">
        <w:rPr>
          <w:rFonts w:ascii="Times New Roman" w:hAnsi="Times New Roman" w:cs="Times New Roman"/>
          <w:i/>
          <w:iCs/>
          <w:lang w:val="ro-RO"/>
        </w:rPr>
        <w:t xml:space="preserve">  </w:t>
      </w:r>
      <w:hyperlink r:id="rId11" w:history="1">
        <w:r w:rsidRPr="00986C6C">
          <w:rPr>
            <w:rStyle w:val="Hyperlink"/>
            <w:rFonts w:ascii="Times New Roman" w:hAnsi="Times New Roman" w:cs="Times New Roman"/>
            <w:i/>
            <w:iCs/>
            <w:lang w:val="ro-RO"/>
          </w:rPr>
          <w:t>https://www.asfromania.ro/ro/a/1737/asiguratori-si-intermediari-din-see</w:t>
        </w:r>
      </w:hyperlink>
      <w:r w:rsidRPr="00986C6C">
        <w:rPr>
          <w:rFonts w:ascii="Times New Roman" w:hAnsi="Times New Roman" w:cs="Times New Roman"/>
          <w:i/>
          <w:iCs/>
          <w:lang w:val="ro-RO"/>
        </w:rPr>
        <w:t xml:space="preserve">  </w:t>
      </w:r>
    </w:p>
    <w:p w14:paraId="5AE1427B" w14:textId="77777777" w:rsidR="00FB42A5" w:rsidRPr="00986C6C" w:rsidRDefault="00FB42A5" w:rsidP="00986C6C">
      <w:pPr>
        <w:spacing w:after="120" w:line="276" w:lineRule="auto"/>
        <w:jc w:val="both"/>
        <w:rPr>
          <w:rFonts w:ascii="Times New Roman" w:hAnsi="Times New Roman" w:cs="Times New Roman"/>
          <w:i/>
          <w:iCs/>
          <w:lang w:val="ro-RO"/>
        </w:rPr>
      </w:pPr>
      <w:r w:rsidRPr="00986C6C">
        <w:rPr>
          <w:rFonts w:ascii="Times New Roman" w:hAnsi="Times New Roman" w:cs="Times New Roman"/>
          <w:i/>
          <w:iCs/>
          <w:lang w:val="ro-RO"/>
        </w:rPr>
        <w:t>Entitatea contractanta nu limitează posibilitatea de prezentare a instrumentelor de garantare numai la cele care sunt emise de către instituții de credit bancare, numai la cele care sunt emise de către instituții financiare nebancare sau numai la cele care sunt emise de către societăți de asigurări, dar recomanda Operatorilor economici consultarea Registrului Societăților de Asigurare și a Registrului Asigurătorilor și Intermediarilor din S.E.E (paginile web anterior amintite), supravegheate de Autoritatea de Supraveghere Financiară (ASF).</w:t>
      </w:r>
    </w:p>
    <w:p w14:paraId="0EC052EF" w14:textId="77777777" w:rsidR="00FB42A5" w:rsidRPr="00986C6C" w:rsidRDefault="00FB42A5" w:rsidP="00986C6C">
      <w:pPr>
        <w:spacing w:after="120" w:line="276" w:lineRule="auto"/>
        <w:jc w:val="both"/>
        <w:rPr>
          <w:rFonts w:ascii="Times New Roman" w:hAnsi="Times New Roman" w:cs="Times New Roman"/>
          <w:i/>
          <w:iCs/>
          <w:lang w:val="ro-RO"/>
        </w:rPr>
      </w:pPr>
      <w:r w:rsidRPr="00986C6C">
        <w:rPr>
          <w:rFonts w:ascii="Times New Roman" w:hAnsi="Times New Roman" w:cs="Times New Roman"/>
          <w:i/>
          <w:iCs/>
          <w:lang w:val="ro-RO"/>
        </w:rPr>
        <w:t>Restituirea garanției de buna execuție  se realizează potrivit prevederilor art. 164^2 din Legea 99/2016.</w:t>
      </w:r>
    </w:p>
    <w:p w14:paraId="0B3D1360" w14:textId="77777777" w:rsidR="00D0322D" w:rsidRPr="00420778" w:rsidRDefault="00D0322D" w:rsidP="00986C6C">
      <w:pPr>
        <w:spacing w:line="276" w:lineRule="auto"/>
        <w:jc w:val="both"/>
        <w:rPr>
          <w:rFonts w:ascii="Times New Roman" w:hAnsi="Times New Roman" w:cs="Times New Roman"/>
          <w:lang w:val="pt-BR"/>
        </w:rPr>
      </w:pPr>
    </w:p>
    <w:p w14:paraId="0D929D5C" w14:textId="77777777" w:rsidR="00D0322D" w:rsidRPr="00420778" w:rsidRDefault="00D0322D" w:rsidP="00986C6C">
      <w:pPr>
        <w:spacing w:after="120" w:line="276" w:lineRule="auto"/>
        <w:jc w:val="both"/>
        <w:rPr>
          <w:rFonts w:ascii="Times New Roman" w:hAnsi="Times New Roman" w:cs="Times New Roman"/>
          <w:b/>
          <w:lang w:val="pt-BR"/>
        </w:rPr>
      </w:pPr>
    </w:p>
    <w:p w14:paraId="496C7B7D" w14:textId="77777777" w:rsidR="004B4FE1" w:rsidRPr="00420778" w:rsidRDefault="004B4FE1" w:rsidP="00986C6C">
      <w:pPr>
        <w:spacing w:after="120" w:line="276" w:lineRule="auto"/>
        <w:ind w:firstLine="720"/>
        <w:jc w:val="both"/>
        <w:rPr>
          <w:rFonts w:ascii="Times New Roman" w:hAnsi="Times New Roman" w:cs="Times New Roman"/>
          <w:lang w:val="pt-BR"/>
        </w:rPr>
      </w:pPr>
    </w:p>
    <w:sectPr w:rsidR="004B4FE1" w:rsidRPr="0042077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D607E" w14:textId="77777777" w:rsidR="00B01F90" w:rsidRDefault="00B01F90" w:rsidP="00806606">
      <w:pPr>
        <w:spacing w:after="0" w:line="240" w:lineRule="auto"/>
      </w:pPr>
      <w:r>
        <w:separator/>
      </w:r>
    </w:p>
  </w:endnote>
  <w:endnote w:type="continuationSeparator" w:id="0">
    <w:p w14:paraId="1B4C1C05" w14:textId="77777777" w:rsidR="00B01F90" w:rsidRDefault="00B01F90" w:rsidP="00806606">
      <w:pPr>
        <w:spacing w:after="0" w:line="240" w:lineRule="auto"/>
      </w:pPr>
      <w:r>
        <w:continuationSeparator/>
      </w:r>
    </w:p>
  </w:endnote>
  <w:endnote w:type="continuationNotice" w:id="1">
    <w:p w14:paraId="711BF62F" w14:textId="77777777" w:rsidR="00B01F90" w:rsidRDefault="00B01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loR">
    <w:panose1 w:val="02000400000000000000"/>
    <w:charset w:val="EE"/>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521079"/>
      <w:docPartObj>
        <w:docPartGallery w:val="Page Numbers (Bottom of Page)"/>
        <w:docPartUnique/>
      </w:docPartObj>
    </w:sdtPr>
    <w:sdtEndPr>
      <w:rPr>
        <w:noProof/>
      </w:rPr>
    </w:sdtEndPr>
    <w:sdtContent>
      <w:p w14:paraId="6C435B10" w14:textId="69A2FB5A" w:rsidR="00D0322D" w:rsidRDefault="00D032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0643AE" w14:textId="77777777" w:rsidR="00806606" w:rsidRDefault="00806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A1A55" w14:textId="77777777" w:rsidR="00B01F90" w:rsidRDefault="00B01F90" w:rsidP="00806606">
      <w:pPr>
        <w:spacing w:after="0" w:line="240" w:lineRule="auto"/>
      </w:pPr>
      <w:r>
        <w:separator/>
      </w:r>
    </w:p>
  </w:footnote>
  <w:footnote w:type="continuationSeparator" w:id="0">
    <w:p w14:paraId="5DA807F3" w14:textId="77777777" w:rsidR="00B01F90" w:rsidRDefault="00B01F90" w:rsidP="00806606">
      <w:pPr>
        <w:spacing w:after="0" w:line="240" w:lineRule="auto"/>
      </w:pPr>
      <w:r>
        <w:continuationSeparator/>
      </w:r>
    </w:p>
  </w:footnote>
  <w:footnote w:type="continuationNotice" w:id="1">
    <w:p w14:paraId="1AC8A7D7" w14:textId="77777777" w:rsidR="00B01F90" w:rsidRDefault="00B01F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4886"/>
    <w:multiLevelType w:val="hybridMultilevel"/>
    <w:tmpl w:val="0876EE3A"/>
    <w:lvl w:ilvl="0" w:tplc="6E0EA8B8">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E5CB4"/>
    <w:multiLevelType w:val="hybridMultilevel"/>
    <w:tmpl w:val="AD46F6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913090"/>
    <w:multiLevelType w:val="hybridMultilevel"/>
    <w:tmpl w:val="48B01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85127"/>
    <w:multiLevelType w:val="hybridMultilevel"/>
    <w:tmpl w:val="874CF1DA"/>
    <w:lvl w:ilvl="0" w:tplc="66ECDDC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5485D"/>
    <w:multiLevelType w:val="hybridMultilevel"/>
    <w:tmpl w:val="CBBC8A92"/>
    <w:lvl w:ilvl="0" w:tplc="86002050">
      <w:start w:val="1"/>
      <w:numFmt w:val="decimal"/>
      <w:lvlText w:val="%1."/>
      <w:lvlJc w:val="left"/>
      <w:pPr>
        <w:ind w:left="585" w:hanging="360"/>
      </w:pPr>
      <w:rPr>
        <w:rFonts w:hint="default"/>
        <w:color w:val="auto"/>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15:restartNumberingAfterBreak="0">
    <w:nsid w:val="311C3D2F"/>
    <w:multiLevelType w:val="hybridMultilevel"/>
    <w:tmpl w:val="08A4B664"/>
    <w:lvl w:ilvl="0" w:tplc="9F4241E8">
      <w:numFmt w:val="bullet"/>
      <w:lvlText w:val=""/>
      <w:lvlJc w:val="left"/>
      <w:pPr>
        <w:ind w:left="540" w:hanging="360"/>
      </w:pPr>
      <w:rPr>
        <w:rFonts w:ascii="Symbol" w:eastAsia="Symbol" w:hAnsi="Symbol" w:cs="Symbol" w:hint="default"/>
        <w:b w:val="0"/>
        <w:bCs w:val="0"/>
        <w:i w:val="0"/>
        <w:iCs w:val="0"/>
        <w:w w:val="100"/>
        <w:sz w:val="22"/>
        <w:szCs w:val="22"/>
        <w:lang w:val="en-US" w:eastAsia="en-US" w:bidi="ar-SA"/>
      </w:rPr>
    </w:lvl>
    <w:lvl w:ilvl="1" w:tplc="DE7CD63C">
      <w:numFmt w:val="bullet"/>
      <w:lvlText w:val="•"/>
      <w:lvlJc w:val="left"/>
      <w:pPr>
        <w:ind w:left="1558" w:hanging="360"/>
      </w:pPr>
      <w:rPr>
        <w:rFonts w:hint="default"/>
        <w:lang w:val="en-US" w:eastAsia="en-US" w:bidi="ar-SA"/>
      </w:rPr>
    </w:lvl>
    <w:lvl w:ilvl="2" w:tplc="72D009C8">
      <w:numFmt w:val="bullet"/>
      <w:lvlText w:val="•"/>
      <w:lvlJc w:val="left"/>
      <w:pPr>
        <w:ind w:left="2576" w:hanging="360"/>
      </w:pPr>
      <w:rPr>
        <w:rFonts w:hint="default"/>
        <w:lang w:val="en-US" w:eastAsia="en-US" w:bidi="ar-SA"/>
      </w:rPr>
    </w:lvl>
    <w:lvl w:ilvl="3" w:tplc="B26ED40E">
      <w:numFmt w:val="bullet"/>
      <w:lvlText w:val="•"/>
      <w:lvlJc w:val="left"/>
      <w:pPr>
        <w:ind w:left="3594" w:hanging="360"/>
      </w:pPr>
      <w:rPr>
        <w:rFonts w:hint="default"/>
        <w:lang w:val="en-US" w:eastAsia="en-US" w:bidi="ar-SA"/>
      </w:rPr>
    </w:lvl>
    <w:lvl w:ilvl="4" w:tplc="BB10E80A">
      <w:numFmt w:val="bullet"/>
      <w:lvlText w:val="•"/>
      <w:lvlJc w:val="left"/>
      <w:pPr>
        <w:ind w:left="4612" w:hanging="360"/>
      </w:pPr>
      <w:rPr>
        <w:rFonts w:hint="default"/>
        <w:lang w:val="en-US" w:eastAsia="en-US" w:bidi="ar-SA"/>
      </w:rPr>
    </w:lvl>
    <w:lvl w:ilvl="5" w:tplc="8886F604">
      <w:numFmt w:val="bullet"/>
      <w:lvlText w:val="•"/>
      <w:lvlJc w:val="left"/>
      <w:pPr>
        <w:ind w:left="5630" w:hanging="360"/>
      </w:pPr>
      <w:rPr>
        <w:rFonts w:hint="default"/>
        <w:lang w:val="en-US" w:eastAsia="en-US" w:bidi="ar-SA"/>
      </w:rPr>
    </w:lvl>
    <w:lvl w:ilvl="6" w:tplc="AD8E956A">
      <w:numFmt w:val="bullet"/>
      <w:lvlText w:val="•"/>
      <w:lvlJc w:val="left"/>
      <w:pPr>
        <w:ind w:left="6648" w:hanging="360"/>
      </w:pPr>
      <w:rPr>
        <w:rFonts w:hint="default"/>
        <w:lang w:val="en-US" w:eastAsia="en-US" w:bidi="ar-SA"/>
      </w:rPr>
    </w:lvl>
    <w:lvl w:ilvl="7" w:tplc="8F88E3C4">
      <w:numFmt w:val="bullet"/>
      <w:lvlText w:val="•"/>
      <w:lvlJc w:val="left"/>
      <w:pPr>
        <w:ind w:left="7666" w:hanging="360"/>
      </w:pPr>
      <w:rPr>
        <w:rFonts w:hint="default"/>
        <w:lang w:val="en-US" w:eastAsia="en-US" w:bidi="ar-SA"/>
      </w:rPr>
    </w:lvl>
    <w:lvl w:ilvl="8" w:tplc="6AEC74CC">
      <w:numFmt w:val="bullet"/>
      <w:lvlText w:val="•"/>
      <w:lvlJc w:val="left"/>
      <w:pPr>
        <w:ind w:left="8684" w:hanging="360"/>
      </w:pPr>
      <w:rPr>
        <w:rFonts w:hint="default"/>
        <w:lang w:val="en-US" w:eastAsia="en-US" w:bidi="ar-SA"/>
      </w:rPr>
    </w:lvl>
  </w:abstractNum>
  <w:abstractNum w:abstractNumId="6" w15:restartNumberingAfterBreak="0">
    <w:nsid w:val="322A2203"/>
    <w:multiLevelType w:val="hybridMultilevel"/>
    <w:tmpl w:val="5AA6E42C"/>
    <w:lvl w:ilvl="0" w:tplc="66A8C384">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7" w15:restartNumberingAfterBreak="0">
    <w:nsid w:val="4FB93CF3"/>
    <w:multiLevelType w:val="hybridMultilevel"/>
    <w:tmpl w:val="71DEC278"/>
    <w:lvl w:ilvl="0" w:tplc="FFFFFFFF">
      <w:start w:val="1"/>
      <w:numFmt w:val="decimal"/>
      <w:lvlText w:val="%1."/>
      <w:lvlJc w:val="left"/>
      <w:pPr>
        <w:ind w:left="585" w:hanging="360"/>
      </w:pPr>
      <w:rPr>
        <w:rFonts w:hint="default"/>
      </w:rPr>
    </w:lvl>
    <w:lvl w:ilvl="1" w:tplc="FFFFFFFF" w:tentative="1">
      <w:start w:val="1"/>
      <w:numFmt w:val="lowerLetter"/>
      <w:lvlText w:val="%2."/>
      <w:lvlJc w:val="left"/>
      <w:pPr>
        <w:ind w:left="1305" w:hanging="360"/>
      </w:pPr>
    </w:lvl>
    <w:lvl w:ilvl="2" w:tplc="FFFFFFFF" w:tentative="1">
      <w:start w:val="1"/>
      <w:numFmt w:val="lowerRoman"/>
      <w:lvlText w:val="%3."/>
      <w:lvlJc w:val="right"/>
      <w:pPr>
        <w:ind w:left="2025" w:hanging="180"/>
      </w:pPr>
    </w:lvl>
    <w:lvl w:ilvl="3" w:tplc="FFFFFFFF" w:tentative="1">
      <w:start w:val="1"/>
      <w:numFmt w:val="decimal"/>
      <w:lvlText w:val="%4."/>
      <w:lvlJc w:val="left"/>
      <w:pPr>
        <w:ind w:left="2745" w:hanging="360"/>
      </w:pPr>
    </w:lvl>
    <w:lvl w:ilvl="4" w:tplc="FFFFFFFF" w:tentative="1">
      <w:start w:val="1"/>
      <w:numFmt w:val="lowerLetter"/>
      <w:lvlText w:val="%5."/>
      <w:lvlJc w:val="left"/>
      <w:pPr>
        <w:ind w:left="3465" w:hanging="360"/>
      </w:pPr>
    </w:lvl>
    <w:lvl w:ilvl="5" w:tplc="FFFFFFFF" w:tentative="1">
      <w:start w:val="1"/>
      <w:numFmt w:val="lowerRoman"/>
      <w:lvlText w:val="%6."/>
      <w:lvlJc w:val="right"/>
      <w:pPr>
        <w:ind w:left="4185" w:hanging="180"/>
      </w:pPr>
    </w:lvl>
    <w:lvl w:ilvl="6" w:tplc="FFFFFFFF" w:tentative="1">
      <w:start w:val="1"/>
      <w:numFmt w:val="decimal"/>
      <w:lvlText w:val="%7."/>
      <w:lvlJc w:val="left"/>
      <w:pPr>
        <w:ind w:left="4905" w:hanging="360"/>
      </w:pPr>
    </w:lvl>
    <w:lvl w:ilvl="7" w:tplc="FFFFFFFF" w:tentative="1">
      <w:start w:val="1"/>
      <w:numFmt w:val="lowerLetter"/>
      <w:lvlText w:val="%8."/>
      <w:lvlJc w:val="left"/>
      <w:pPr>
        <w:ind w:left="5625" w:hanging="360"/>
      </w:pPr>
    </w:lvl>
    <w:lvl w:ilvl="8" w:tplc="FFFFFFFF" w:tentative="1">
      <w:start w:val="1"/>
      <w:numFmt w:val="lowerRoman"/>
      <w:lvlText w:val="%9."/>
      <w:lvlJc w:val="right"/>
      <w:pPr>
        <w:ind w:left="6345" w:hanging="180"/>
      </w:pPr>
    </w:lvl>
  </w:abstractNum>
  <w:abstractNum w:abstractNumId="8" w15:restartNumberingAfterBreak="0">
    <w:nsid w:val="57343C22"/>
    <w:multiLevelType w:val="hybridMultilevel"/>
    <w:tmpl w:val="BD5A94E8"/>
    <w:lvl w:ilvl="0" w:tplc="EE827C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4544297"/>
    <w:multiLevelType w:val="hybridMultilevel"/>
    <w:tmpl w:val="C0202E26"/>
    <w:lvl w:ilvl="0" w:tplc="25C0BF4E">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0521B8"/>
    <w:multiLevelType w:val="hybridMultilevel"/>
    <w:tmpl w:val="BB32ED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0AF26D6"/>
    <w:multiLevelType w:val="hybridMultilevel"/>
    <w:tmpl w:val="2AA0BBB2"/>
    <w:lvl w:ilvl="0" w:tplc="A6A468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EBD79E9"/>
    <w:multiLevelType w:val="hybridMultilevel"/>
    <w:tmpl w:val="697C213A"/>
    <w:lvl w:ilvl="0" w:tplc="F4F26D40">
      <w:start w:val="2"/>
      <w:numFmt w:val="upperLetter"/>
      <w:lvlText w:val="%1)"/>
      <w:lvlJc w:val="left"/>
      <w:pPr>
        <w:ind w:left="1076" w:hanging="276"/>
      </w:pPr>
      <w:rPr>
        <w:rFonts w:ascii="Times New Roman" w:eastAsia="Times New Roman" w:hAnsi="Times New Roman" w:cs="Times New Roman" w:hint="default"/>
        <w:b/>
        <w:bCs/>
        <w:i w:val="0"/>
        <w:iCs w:val="0"/>
        <w:spacing w:val="-1"/>
        <w:w w:val="100"/>
        <w:sz w:val="22"/>
        <w:szCs w:val="22"/>
        <w:lang w:val="en-US" w:eastAsia="en-US" w:bidi="ar-SA"/>
      </w:rPr>
    </w:lvl>
    <w:lvl w:ilvl="1" w:tplc="C5BC73BC">
      <w:start w:val="1"/>
      <w:numFmt w:val="lowerLetter"/>
      <w:lvlText w:val="%2)"/>
      <w:lvlJc w:val="left"/>
      <w:pPr>
        <w:ind w:left="1028" w:hanging="228"/>
      </w:pPr>
      <w:rPr>
        <w:rFonts w:ascii="Times New Roman" w:eastAsia="Times New Roman" w:hAnsi="Times New Roman" w:cs="Times New Roman" w:hint="default"/>
        <w:b w:val="0"/>
        <w:bCs w:val="0"/>
        <w:i w:val="0"/>
        <w:iCs w:val="0"/>
        <w:w w:val="100"/>
        <w:sz w:val="22"/>
        <w:szCs w:val="22"/>
        <w:lang w:val="en-US" w:eastAsia="en-US" w:bidi="ar-SA"/>
      </w:rPr>
    </w:lvl>
    <w:lvl w:ilvl="2" w:tplc="66B2253A">
      <w:numFmt w:val="bullet"/>
      <w:lvlText w:val="•"/>
      <w:lvlJc w:val="left"/>
      <w:pPr>
        <w:ind w:left="2205" w:hanging="228"/>
      </w:pPr>
      <w:rPr>
        <w:rFonts w:hint="default"/>
        <w:lang w:val="en-US" w:eastAsia="en-US" w:bidi="ar-SA"/>
      </w:rPr>
    </w:lvl>
    <w:lvl w:ilvl="3" w:tplc="938032C2">
      <w:numFmt w:val="bullet"/>
      <w:lvlText w:val="•"/>
      <w:lvlJc w:val="left"/>
      <w:pPr>
        <w:ind w:left="3330" w:hanging="228"/>
      </w:pPr>
      <w:rPr>
        <w:rFonts w:hint="default"/>
        <w:lang w:val="en-US" w:eastAsia="en-US" w:bidi="ar-SA"/>
      </w:rPr>
    </w:lvl>
    <w:lvl w:ilvl="4" w:tplc="8C30863E">
      <w:numFmt w:val="bullet"/>
      <w:lvlText w:val="•"/>
      <w:lvlJc w:val="left"/>
      <w:pPr>
        <w:ind w:left="4455" w:hanging="228"/>
      </w:pPr>
      <w:rPr>
        <w:rFonts w:hint="default"/>
        <w:lang w:val="en-US" w:eastAsia="en-US" w:bidi="ar-SA"/>
      </w:rPr>
    </w:lvl>
    <w:lvl w:ilvl="5" w:tplc="9252F8E6">
      <w:numFmt w:val="bullet"/>
      <w:lvlText w:val="•"/>
      <w:lvlJc w:val="left"/>
      <w:pPr>
        <w:ind w:left="5580" w:hanging="228"/>
      </w:pPr>
      <w:rPr>
        <w:rFonts w:hint="default"/>
        <w:lang w:val="en-US" w:eastAsia="en-US" w:bidi="ar-SA"/>
      </w:rPr>
    </w:lvl>
    <w:lvl w:ilvl="6" w:tplc="34145988">
      <w:numFmt w:val="bullet"/>
      <w:lvlText w:val="•"/>
      <w:lvlJc w:val="left"/>
      <w:pPr>
        <w:ind w:left="6705" w:hanging="228"/>
      </w:pPr>
      <w:rPr>
        <w:rFonts w:hint="default"/>
        <w:lang w:val="en-US" w:eastAsia="en-US" w:bidi="ar-SA"/>
      </w:rPr>
    </w:lvl>
    <w:lvl w:ilvl="7" w:tplc="0F2E9FB6">
      <w:numFmt w:val="bullet"/>
      <w:lvlText w:val="•"/>
      <w:lvlJc w:val="left"/>
      <w:pPr>
        <w:ind w:left="7830" w:hanging="228"/>
      </w:pPr>
      <w:rPr>
        <w:rFonts w:hint="default"/>
        <w:lang w:val="en-US" w:eastAsia="en-US" w:bidi="ar-SA"/>
      </w:rPr>
    </w:lvl>
    <w:lvl w:ilvl="8" w:tplc="81CE20B6">
      <w:numFmt w:val="bullet"/>
      <w:lvlText w:val="•"/>
      <w:lvlJc w:val="left"/>
      <w:pPr>
        <w:ind w:left="8956" w:hanging="228"/>
      </w:pPr>
      <w:rPr>
        <w:rFonts w:hint="default"/>
        <w:lang w:val="en-US" w:eastAsia="en-US" w:bidi="ar-SA"/>
      </w:rPr>
    </w:lvl>
  </w:abstractNum>
  <w:num w:numId="1" w16cid:durableId="1327243144">
    <w:abstractNumId w:val="2"/>
  </w:num>
  <w:num w:numId="2" w16cid:durableId="656303230">
    <w:abstractNumId w:val="4"/>
  </w:num>
  <w:num w:numId="3" w16cid:durableId="1031154212">
    <w:abstractNumId w:val="6"/>
  </w:num>
  <w:num w:numId="4" w16cid:durableId="171536526">
    <w:abstractNumId w:val="3"/>
  </w:num>
  <w:num w:numId="5" w16cid:durableId="852761201">
    <w:abstractNumId w:val="1"/>
  </w:num>
  <w:num w:numId="6" w16cid:durableId="113990702">
    <w:abstractNumId w:val="7"/>
  </w:num>
  <w:num w:numId="7" w16cid:durableId="1958902596">
    <w:abstractNumId w:val="10"/>
  </w:num>
  <w:num w:numId="8" w16cid:durableId="1711223767">
    <w:abstractNumId w:val="11"/>
  </w:num>
  <w:num w:numId="9" w16cid:durableId="1056467788">
    <w:abstractNumId w:val="12"/>
  </w:num>
  <w:num w:numId="10" w16cid:durableId="155845092">
    <w:abstractNumId w:val="5"/>
  </w:num>
  <w:num w:numId="11" w16cid:durableId="1968461880">
    <w:abstractNumId w:val="8"/>
  </w:num>
  <w:num w:numId="12" w16cid:durableId="65693799">
    <w:abstractNumId w:val="9"/>
  </w:num>
  <w:num w:numId="13" w16cid:durableId="167033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09A"/>
    <w:rsid w:val="00002FDF"/>
    <w:rsid w:val="00004835"/>
    <w:rsid w:val="00004D77"/>
    <w:rsid w:val="00005A84"/>
    <w:rsid w:val="000140BE"/>
    <w:rsid w:val="00024002"/>
    <w:rsid w:val="00035519"/>
    <w:rsid w:val="00056B81"/>
    <w:rsid w:val="00073C39"/>
    <w:rsid w:val="000B1EBD"/>
    <w:rsid w:val="000B315A"/>
    <w:rsid w:val="000B40A1"/>
    <w:rsid w:val="000B58AA"/>
    <w:rsid w:val="000C6E64"/>
    <w:rsid w:val="000E13BC"/>
    <w:rsid w:val="0011013F"/>
    <w:rsid w:val="001131F3"/>
    <w:rsid w:val="001603FC"/>
    <w:rsid w:val="001607CA"/>
    <w:rsid w:val="001820B0"/>
    <w:rsid w:val="00194EEC"/>
    <w:rsid w:val="001B056C"/>
    <w:rsid w:val="001B30A0"/>
    <w:rsid w:val="001C5997"/>
    <w:rsid w:val="001D337D"/>
    <w:rsid w:val="001D6E5A"/>
    <w:rsid w:val="001E617A"/>
    <w:rsid w:val="00207FEA"/>
    <w:rsid w:val="00234E70"/>
    <w:rsid w:val="002504B2"/>
    <w:rsid w:val="00260348"/>
    <w:rsid w:val="00287D64"/>
    <w:rsid w:val="0029384A"/>
    <w:rsid w:val="00301D36"/>
    <w:rsid w:val="00336339"/>
    <w:rsid w:val="003408D1"/>
    <w:rsid w:val="003638D8"/>
    <w:rsid w:val="003749C9"/>
    <w:rsid w:val="003815EF"/>
    <w:rsid w:val="00385FEC"/>
    <w:rsid w:val="003869AC"/>
    <w:rsid w:val="003A6DB6"/>
    <w:rsid w:val="004163D9"/>
    <w:rsid w:val="00420778"/>
    <w:rsid w:val="004777E4"/>
    <w:rsid w:val="004B4FE1"/>
    <w:rsid w:val="004B5078"/>
    <w:rsid w:val="004B6759"/>
    <w:rsid w:val="004C2A26"/>
    <w:rsid w:val="004C3125"/>
    <w:rsid w:val="004C76FD"/>
    <w:rsid w:val="004E3FE4"/>
    <w:rsid w:val="005022D2"/>
    <w:rsid w:val="005478D9"/>
    <w:rsid w:val="00547E35"/>
    <w:rsid w:val="0056085F"/>
    <w:rsid w:val="005609EA"/>
    <w:rsid w:val="0056568A"/>
    <w:rsid w:val="005658BA"/>
    <w:rsid w:val="0057412B"/>
    <w:rsid w:val="00596CC7"/>
    <w:rsid w:val="005C3627"/>
    <w:rsid w:val="005C797B"/>
    <w:rsid w:val="00603F9F"/>
    <w:rsid w:val="006430E8"/>
    <w:rsid w:val="00646D45"/>
    <w:rsid w:val="00647023"/>
    <w:rsid w:val="00686094"/>
    <w:rsid w:val="006B6E58"/>
    <w:rsid w:val="006C0A59"/>
    <w:rsid w:val="006C0C9F"/>
    <w:rsid w:val="006D5337"/>
    <w:rsid w:val="006F20D4"/>
    <w:rsid w:val="00731B27"/>
    <w:rsid w:val="0075309A"/>
    <w:rsid w:val="00753F03"/>
    <w:rsid w:val="007646EE"/>
    <w:rsid w:val="00766C0E"/>
    <w:rsid w:val="007705AC"/>
    <w:rsid w:val="007879BD"/>
    <w:rsid w:val="007A7B06"/>
    <w:rsid w:val="007B0366"/>
    <w:rsid w:val="007B5AE6"/>
    <w:rsid w:val="00806606"/>
    <w:rsid w:val="00815049"/>
    <w:rsid w:val="008267C3"/>
    <w:rsid w:val="00827B7A"/>
    <w:rsid w:val="00834CC3"/>
    <w:rsid w:val="00857DF3"/>
    <w:rsid w:val="00877FDE"/>
    <w:rsid w:val="008909AD"/>
    <w:rsid w:val="008B08BB"/>
    <w:rsid w:val="008B26BC"/>
    <w:rsid w:val="00921C9D"/>
    <w:rsid w:val="0092285B"/>
    <w:rsid w:val="009262FD"/>
    <w:rsid w:val="00927657"/>
    <w:rsid w:val="00935F32"/>
    <w:rsid w:val="009466B6"/>
    <w:rsid w:val="00956CC2"/>
    <w:rsid w:val="00986C6C"/>
    <w:rsid w:val="009A632E"/>
    <w:rsid w:val="009B542E"/>
    <w:rsid w:val="009C05DF"/>
    <w:rsid w:val="009C4633"/>
    <w:rsid w:val="009C5680"/>
    <w:rsid w:val="009C6C9F"/>
    <w:rsid w:val="009E128D"/>
    <w:rsid w:val="00A26C52"/>
    <w:rsid w:val="00A935CB"/>
    <w:rsid w:val="00A95F51"/>
    <w:rsid w:val="00AA7AA4"/>
    <w:rsid w:val="00AB7B60"/>
    <w:rsid w:val="00AE2BE5"/>
    <w:rsid w:val="00B01F90"/>
    <w:rsid w:val="00B11DF5"/>
    <w:rsid w:val="00B20A78"/>
    <w:rsid w:val="00B633F7"/>
    <w:rsid w:val="00B7237A"/>
    <w:rsid w:val="00B745AB"/>
    <w:rsid w:val="00B84FB0"/>
    <w:rsid w:val="00B91F97"/>
    <w:rsid w:val="00B92981"/>
    <w:rsid w:val="00BC188D"/>
    <w:rsid w:val="00BC6D69"/>
    <w:rsid w:val="00BF6DDB"/>
    <w:rsid w:val="00C010EE"/>
    <w:rsid w:val="00C05936"/>
    <w:rsid w:val="00C071BA"/>
    <w:rsid w:val="00C071E2"/>
    <w:rsid w:val="00C32799"/>
    <w:rsid w:val="00C3398E"/>
    <w:rsid w:val="00C35F31"/>
    <w:rsid w:val="00C3750B"/>
    <w:rsid w:val="00C823CF"/>
    <w:rsid w:val="00C860AB"/>
    <w:rsid w:val="00C94C81"/>
    <w:rsid w:val="00CC186C"/>
    <w:rsid w:val="00CD1EF4"/>
    <w:rsid w:val="00D0322D"/>
    <w:rsid w:val="00D06169"/>
    <w:rsid w:val="00D36DDD"/>
    <w:rsid w:val="00D74F1F"/>
    <w:rsid w:val="00D96093"/>
    <w:rsid w:val="00DA0F8B"/>
    <w:rsid w:val="00DA3056"/>
    <w:rsid w:val="00DA43B0"/>
    <w:rsid w:val="00DA778F"/>
    <w:rsid w:val="00DB0EF7"/>
    <w:rsid w:val="00DF051A"/>
    <w:rsid w:val="00DF5D8A"/>
    <w:rsid w:val="00E008C6"/>
    <w:rsid w:val="00E11C1D"/>
    <w:rsid w:val="00E135A0"/>
    <w:rsid w:val="00E43A1C"/>
    <w:rsid w:val="00E510A3"/>
    <w:rsid w:val="00E56FDD"/>
    <w:rsid w:val="00E619A3"/>
    <w:rsid w:val="00E71AC9"/>
    <w:rsid w:val="00E948C6"/>
    <w:rsid w:val="00ED7E13"/>
    <w:rsid w:val="00EF2CA0"/>
    <w:rsid w:val="00F0071C"/>
    <w:rsid w:val="00F32D50"/>
    <w:rsid w:val="00F551FB"/>
    <w:rsid w:val="00F57FA6"/>
    <w:rsid w:val="00F61449"/>
    <w:rsid w:val="00F6279C"/>
    <w:rsid w:val="00F84DF7"/>
    <w:rsid w:val="00F97D2C"/>
    <w:rsid w:val="00FB42A5"/>
    <w:rsid w:val="00FB5DA3"/>
    <w:rsid w:val="00FE3DFE"/>
    <w:rsid w:val="00FF2E35"/>
    <w:rsid w:val="00FF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74FF3"/>
  <w15:chartTrackingRefBased/>
  <w15:docId w15:val="{7200796A-B60E-44DA-A84C-8F3FFA0D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F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7F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13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6C0C9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body 2,List1,Списък на абзаци,List Paragraph11,List_Paragraph,Multilevel para_II,Normal bullet 2,Listă colorată - Accentuare 11,Bullet,Citation List,List Paragraph1,lp1,Heading x1,Lista 1,lp11,Lettre d'introduction"/>
    <w:basedOn w:val="Normal"/>
    <w:link w:val="ListParagraphChar"/>
    <w:uiPriority w:val="34"/>
    <w:qFormat/>
    <w:rsid w:val="009C6C9F"/>
    <w:pPr>
      <w:ind w:left="720"/>
      <w:contextualSpacing/>
    </w:pPr>
  </w:style>
  <w:style w:type="character" w:customStyle="1" w:styleId="Heading4Char">
    <w:name w:val="Heading 4 Char"/>
    <w:basedOn w:val="DefaultParagraphFont"/>
    <w:link w:val="Heading4"/>
    <w:uiPriority w:val="9"/>
    <w:rsid w:val="006C0C9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0E13B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nhideWhenUsed/>
    <w:rsid w:val="00806606"/>
    <w:pPr>
      <w:tabs>
        <w:tab w:val="center" w:pos="4680"/>
        <w:tab w:val="right" w:pos="9360"/>
      </w:tabs>
      <w:spacing w:after="0" w:line="240" w:lineRule="auto"/>
    </w:pPr>
  </w:style>
  <w:style w:type="character" w:customStyle="1" w:styleId="HeaderChar">
    <w:name w:val="Header Char"/>
    <w:basedOn w:val="DefaultParagraphFont"/>
    <w:link w:val="Header"/>
    <w:rsid w:val="00806606"/>
  </w:style>
  <w:style w:type="paragraph" w:styleId="Footer">
    <w:name w:val="footer"/>
    <w:basedOn w:val="Normal"/>
    <w:link w:val="FooterChar"/>
    <w:uiPriority w:val="99"/>
    <w:unhideWhenUsed/>
    <w:rsid w:val="00806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606"/>
  </w:style>
  <w:style w:type="character" w:styleId="CommentReference">
    <w:name w:val="annotation reference"/>
    <w:basedOn w:val="DefaultParagraphFont"/>
    <w:uiPriority w:val="99"/>
    <w:semiHidden/>
    <w:unhideWhenUsed/>
    <w:rsid w:val="00A95F51"/>
    <w:rPr>
      <w:sz w:val="16"/>
      <w:szCs w:val="16"/>
    </w:rPr>
  </w:style>
  <w:style w:type="paragraph" w:styleId="CommentText">
    <w:name w:val="annotation text"/>
    <w:basedOn w:val="Normal"/>
    <w:link w:val="CommentTextChar"/>
    <w:uiPriority w:val="99"/>
    <w:semiHidden/>
    <w:unhideWhenUsed/>
    <w:rsid w:val="00A95F51"/>
    <w:pPr>
      <w:spacing w:line="240" w:lineRule="auto"/>
    </w:pPr>
    <w:rPr>
      <w:sz w:val="20"/>
      <w:szCs w:val="20"/>
    </w:rPr>
  </w:style>
  <w:style w:type="character" w:customStyle="1" w:styleId="CommentTextChar">
    <w:name w:val="Comment Text Char"/>
    <w:basedOn w:val="DefaultParagraphFont"/>
    <w:link w:val="CommentText"/>
    <w:uiPriority w:val="99"/>
    <w:semiHidden/>
    <w:rsid w:val="00A95F51"/>
    <w:rPr>
      <w:sz w:val="20"/>
      <w:szCs w:val="20"/>
    </w:rPr>
  </w:style>
  <w:style w:type="paragraph" w:styleId="CommentSubject">
    <w:name w:val="annotation subject"/>
    <w:basedOn w:val="CommentText"/>
    <w:next w:val="CommentText"/>
    <w:link w:val="CommentSubjectChar"/>
    <w:uiPriority w:val="99"/>
    <w:semiHidden/>
    <w:unhideWhenUsed/>
    <w:rsid w:val="00A95F51"/>
    <w:rPr>
      <w:b/>
      <w:bCs/>
    </w:rPr>
  </w:style>
  <w:style w:type="character" w:customStyle="1" w:styleId="CommentSubjectChar">
    <w:name w:val="Comment Subject Char"/>
    <w:basedOn w:val="CommentTextChar"/>
    <w:link w:val="CommentSubject"/>
    <w:uiPriority w:val="99"/>
    <w:semiHidden/>
    <w:rsid w:val="00A95F51"/>
    <w:rPr>
      <w:b/>
      <w:bCs/>
      <w:sz w:val="20"/>
      <w:szCs w:val="20"/>
    </w:rPr>
  </w:style>
  <w:style w:type="paragraph" w:customStyle="1" w:styleId="TableParagraph">
    <w:name w:val="Table Paragraph"/>
    <w:basedOn w:val="Normal"/>
    <w:uiPriority w:val="1"/>
    <w:qFormat/>
    <w:rsid w:val="00207FEA"/>
    <w:pPr>
      <w:widowControl w:val="0"/>
      <w:autoSpaceDE w:val="0"/>
      <w:autoSpaceDN w:val="0"/>
      <w:spacing w:after="0" w:line="240" w:lineRule="auto"/>
    </w:pPr>
    <w:rPr>
      <w:rFonts w:ascii="PoloR" w:eastAsia="PoloR" w:hAnsi="PoloR" w:cs="PoloR"/>
      <w:lang w:val="ro-RO"/>
    </w:rPr>
  </w:style>
  <w:style w:type="paragraph" w:styleId="BodyText">
    <w:name w:val="Body Text"/>
    <w:basedOn w:val="Normal"/>
    <w:link w:val="BodyTextChar"/>
    <w:rsid w:val="00F6279C"/>
    <w:pPr>
      <w:spacing w:after="120" w:line="240" w:lineRule="auto"/>
    </w:pPr>
    <w:rPr>
      <w:rFonts w:ascii="Arial" w:eastAsia="Times New Roman" w:hAnsi="Arial" w:cs="Times New Roman"/>
      <w:color w:val="FF0000"/>
      <w:sz w:val="24"/>
      <w:szCs w:val="20"/>
      <w:lang w:val="en-GB"/>
    </w:rPr>
  </w:style>
  <w:style w:type="character" w:customStyle="1" w:styleId="BodyTextChar">
    <w:name w:val="Body Text Char"/>
    <w:basedOn w:val="DefaultParagraphFont"/>
    <w:link w:val="BodyText"/>
    <w:rsid w:val="00F6279C"/>
    <w:rPr>
      <w:rFonts w:ascii="Arial" w:eastAsia="Times New Roman" w:hAnsi="Arial" w:cs="Times New Roman"/>
      <w:color w:val="FF0000"/>
      <w:sz w:val="24"/>
      <w:szCs w:val="20"/>
      <w:lang w:val="en-GB"/>
    </w:rPr>
  </w:style>
  <w:style w:type="character" w:customStyle="1" w:styleId="ListParagraphChar">
    <w:name w:val="List Paragraph Char"/>
    <w:aliases w:val="Forth level Char,body 2 Char,List1 Char,Списък на абзаци Char,List Paragraph11 Char,List_Paragraph Char,Multilevel para_II Char,Normal bullet 2 Char,Listă colorată - Accentuare 11 Char,Bullet Char,Citation List Char,lp1 Char"/>
    <w:link w:val="ListParagraph"/>
    <w:uiPriority w:val="1"/>
    <w:qFormat/>
    <w:locked/>
    <w:rsid w:val="00F6279C"/>
  </w:style>
  <w:style w:type="character" w:customStyle="1" w:styleId="Heading1Char">
    <w:name w:val="Heading 1 Char"/>
    <w:basedOn w:val="DefaultParagraphFont"/>
    <w:link w:val="Heading1"/>
    <w:uiPriority w:val="9"/>
    <w:rsid w:val="00F57FA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57FA6"/>
    <w:rPr>
      <w:rFonts w:asciiTheme="majorHAnsi" w:eastAsiaTheme="majorEastAsia" w:hAnsiTheme="majorHAnsi" w:cstheme="majorBidi"/>
      <w:color w:val="2F5496" w:themeColor="accent1" w:themeShade="BF"/>
      <w:sz w:val="26"/>
      <w:szCs w:val="26"/>
    </w:rPr>
  </w:style>
  <w:style w:type="paragraph" w:customStyle="1" w:styleId="Default">
    <w:name w:val="Default"/>
    <w:rsid w:val="00753F03"/>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styleId="Hyperlink">
    <w:name w:val="Hyperlink"/>
    <w:basedOn w:val="DefaultParagraphFont"/>
    <w:uiPriority w:val="99"/>
    <w:unhideWhenUsed/>
    <w:rsid w:val="00FB42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316">
      <w:bodyDiv w:val="1"/>
      <w:marLeft w:val="0"/>
      <w:marRight w:val="0"/>
      <w:marTop w:val="0"/>
      <w:marBottom w:val="0"/>
      <w:divBdr>
        <w:top w:val="none" w:sz="0" w:space="0" w:color="auto"/>
        <w:left w:val="none" w:sz="0" w:space="0" w:color="auto"/>
        <w:bottom w:val="none" w:sz="0" w:space="0" w:color="auto"/>
        <w:right w:val="none" w:sz="0" w:space="0" w:color="auto"/>
      </w:divBdr>
    </w:div>
    <w:div w:id="1187676108">
      <w:bodyDiv w:val="1"/>
      <w:marLeft w:val="0"/>
      <w:marRight w:val="0"/>
      <w:marTop w:val="0"/>
      <w:marBottom w:val="0"/>
      <w:divBdr>
        <w:top w:val="none" w:sz="0" w:space="0" w:color="auto"/>
        <w:left w:val="none" w:sz="0" w:space="0" w:color="auto"/>
        <w:bottom w:val="none" w:sz="0" w:space="0" w:color="auto"/>
        <w:right w:val="none" w:sz="0" w:space="0" w:color="auto"/>
      </w:divBdr>
    </w:div>
    <w:div w:id="194291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sfromania.ro/ro/a/1737/asiguratori-si-intermediari-din-see" TargetMode="External"/><Relationship Id="rId5" Type="http://schemas.openxmlformats.org/officeDocument/2006/relationships/styles" Target="styles.xml"/><Relationship Id="rId10" Type="http://schemas.openxmlformats.org/officeDocument/2006/relationships/hyperlink" Target="https://asfromania.ro/app.php/ro/a/1542/asigur&#259;tori-&#537;i-intermediari-principal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56e9b24-3edf-4cc7-b5a4-b89f9dfe01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F01B7361B02C4CB34EE63B99F6D24D" ma:contentTypeVersion="16" ma:contentTypeDescription="Create a new document." ma:contentTypeScope="" ma:versionID="37d39348c656e8063e5b7478cf129eef">
  <xsd:schema xmlns:xsd="http://www.w3.org/2001/XMLSchema" xmlns:xs="http://www.w3.org/2001/XMLSchema" xmlns:p="http://schemas.microsoft.com/office/2006/metadata/properties" xmlns:ns3="f56e9b24-3edf-4cc7-b5a4-b89f9dfe0168" xmlns:ns4="e77909c8-8f1b-4d09-be1c-e01a06cd3073" targetNamespace="http://schemas.microsoft.com/office/2006/metadata/properties" ma:root="true" ma:fieldsID="0009c4ff75dfcb5b789a4126539c6802" ns3:_="" ns4:_="">
    <xsd:import namespace="f56e9b24-3edf-4cc7-b5a4-b89f9dfe0168"/>
    <xsd:import namespace="e77909c8-8f1b-4d09-be1c-e01a06cd30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DateTake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e9b24-3edf-4cc7-b5a4-b89f9dfe0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7909c8-8f1b-4d09-be1c-e01a06cd30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31D9D-2013-430C-8E74-7ED9627F5473}">
  <ds:schemaRefs>
    <ds:schemaRef ds:uri="http://schemas.microsoft.com/office/2006/metadata/properties"/>
    <ds:schemaRef ds:uri="http://schemas.microsoft.com/office/infopath/2007/PartnerControls"/>
    <ds:schemaRef ds:uri="f56e9b24-3edf-4cc7-b5a4-b89f9dfe0168"/>
  </ds:schemaRefs>
</ds:datastoreItem>
</file>

<file path=customXml/itemProps2.xml><?xml version="1.0" encoding="utf-8"?>
<ds:datastoreItem xmlns:ds="http://schemas.openxmlformats.org/officeDocument/2006/customXml" ds:itemID="{021A5A57-67E3-49A3-B8FD-2297E5484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e9b24-3edf-4cc7-b5a4-b89f9dfe0168"/>
    <ds:schemaRef ds:uri="e77909c8-8f1b-4d09-be1c-e01a06cd3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32678-D268-4D35-8B76-FDB8EC64AE0F}">
  <ds:schemaRefs>
    <ds:schemaRef ds:uri="http://schemas.microsoft.com/sharepoint/v3/contenttype/forms"/>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3079</Words>
  <Characters>18690</Characters>
  <Application>Microsoft Office Word</Application>
  <DocSecurity>0</DocSecurity>
  <Lines>352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MUNTEANU, ELENA-DANA</dc:creator>
  <cp:keywords/>
  <dc:description/>
  <cp:lastModifiedBy>Temneanu, Loredana</cp:lastModifiedBy>
  <cp:revision>2</cp:revision>
  <dcterms:created xsi:type="dcterms:W3CDTF">2026-03-27T11:59:00Z</dcterms:created>
  <dcterms:modified xsi:type="dcterms:W3CDTF">2026-03-27T11:59:00Z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0x010100C7F01B7361B02C4CB34EE63B99F6D24D</vt:lpwstr>
  </property>
</Properties>
</file>