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D5" w:rsidRDefault="00BE1796" w:rsidP="002F50D2">
      <w:pPr>
        <w:jc w:val="both"/>
      </w:pPr>
    </w:p>
    <w:p w:rsidR="007A1DF8" w:rsidRPr="00BE7676" w:rsidRDefault="007A1DF8" w:rsidP="002F50D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676">
        <w:rPr>
          <w:rFonts w:ascii="Times New Roman" w:eastAsia="Times New Roman" w:hAnsi="Times New Roman" w:cs="Times New Roman"/>
          <w:color w:val="333333"/>
          <w:sz w:val="24"/>
          <w:szCs w:val="24"/>
        </w:rPr>
        <w:t>ACORD CONTRACTUAL</w:t>
      </w:r>
    </w:p>
    <w:p w:rsidR="00BE7676" w:rsidRPr="00BE7676" w:rsidRDefault="007A1DF8" w:rsidP="002F50D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676">
        <w:rPr>
          <w:rFonts w:ascii="Times New Roman" w:eastAsia="Times New Roman" w:hAnsi="Times New Roman" w:cs="Times New Roman"/>
          <w:color w:val="333333"/>
          <w:sz w:val="24"/>
          <w:szCs w:val="24"/>
        </w:rPr>
        <w:t>CONTRACTUL DE EXECUŢIE LUCRĂRI:</w:t>
      </w:r>
    </w:p>
    <w:p w:rsidR="00BE7676" w:rsidRPr="00BE7676" w:rsidRDefault="00BE7676" w:rsidP="002F50D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E7676" w:rsidRPr="00BE7676" w:rsidRDefault="00BE7676" w:rsidP="002F50D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67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Pietonizare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traseele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bike-sharing,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, zone de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spectacole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comerț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ornamental,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676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BE7676">
        <w:rPr>
          <w:rFonts w:ascii="Times New Roman" w:hAnsi="Times New Roman" w:cs="Times New Roman"/>
          <w:sz w:val="24"/>
          <w:szCs w:val="24"/>
        </w:rPr>
        <w:t xml:space="preserve"> – </w:t>
      </w:r>
      <w:r w:rsidR="00BE1796" w:rsidRPr="00BE1796">
        <w:rPr>
          <w:rFonts w:ascii="Times New Roman" w:hAnsi="Times New Roman" w:cs="Times New Roman"/>
          <w:b/>
          <w:sz w:val="24"/>
          <w:szCs w:val="24"/>
        </w:rPr>
        <w:t xml:space="preserve">Componenta </w:t>
      </w:r>
      <w:proofErr w:type="spellStart"/>
      <w:r w:rsidR="00BE1796" w:rsidRPr="00BE1796">
        <w:rPr>
          <w:rFonts w:ascii="Times New Roman" w:hAnsi="Times New Roman" w:cs="Times New Roman"/>
          <w:b/>
          <w:sz w:val="24"/>
          <w:szCs w:val="24"/>
        </w:rPr>
        <w:t>Regenerare</w:t>
      </w:r>
      <w:proofErr w:type="spellEnd"/>
      <w:r w:rsidR="00BE1796" w:rsidRPr="00BE1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1796" w:rsidRPr="00BE1796">
        <w:rPr>
          <w:rFonts w:ascii="Times New Roman" w:hAnsi="Times New Roman" w:cs="Times New Roman"/>
          <w:b/>
          <w:sz w:val="24"/>
          <w:szCs w:val="24"/>
        </w:rPr>
        <w:t>urbană</w:t>
      </w:r>
      <w:proofErr w:type="spellEnd"/>
      <w:r w:rsidR="00BE1796" w:rsidRPr="00BE1796">
        <w:rPr>
          <w:rFonts w:ascii="Times New Roman" w:hAnsi="Times New Roman" w:cs="Times New Roman"/>
          <w:b/>
          <w:sz w:val="24"/>
          <w:szCs w:val="24"/>
        </w:rPr>
        <w:t>, SMIS 341965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Prezentul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Acord Contractual se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încheie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între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:</w:t>
      </w:r>
    </w:p>
    <w:p w:rsidR="007A1DF8" w:rsidRPr="007A1DF8" w:rsidRDefault="00BE7676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MUNICIPIUL PLOIESTI</w:t>
      </w:r>
      <w:proofErr w:type="gram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adresa</w:t>
      </w:r>
      <w:proofErr w:type="spellEnd"/>
      <w:proofErr w:type="gram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:</w:t>
      </w:r>
      <w:r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Piata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Eroilor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nr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. 1A,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Localitate</w:t>
      </w:r>
      <w:proofErr w:type="gram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:Ploiesti,Cod</w:t>
      </w:r>
      <w:proofErr w:type="spellEnd"/>
      <w:proofErr w:type="gram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postal 100316,  …………………………… tel.nr. 0244-516699</w:t>
      </w:r>
      <w:proofErr w:type="gram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,  fax</w:t>
      </w:r>
      <w:proofErr w:type="gram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nr.0244-513829,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cont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deschis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la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Trezoreria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………..,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reprezentată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prin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dl.Mihai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Laurentiu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Politeanu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(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denumită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continuare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"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Beneficiar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"), </w:t>
      </w:r>
      <w:proofErr w:type="spellStart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pe</w:t>
      </w:r>
      <w:proofErr w:type="spellEnd"/>
      <w:r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o parte</w:t>
      </w:r>
      <w:r w:rsidR="007A1DF8"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……………………………….,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persoană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juridică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……………cu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sediul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…………………………………………………………………………….,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înregistrată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la …………………… sub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nr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. </w:t>
      </w:r>
      <w:proofErr w:type="gram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…………………………………………,………………………………..,</w:t>
      </w:r>
      <w:proofErr w:type="gram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atribut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fiscal …………….,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bancar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nr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…………………………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deschis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la………………………………..-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Sucursala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………………,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număr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TVA…………………………………….. , legal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reprezentată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prin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………………………………………,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denumită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continuare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denumit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continuare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"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"),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cealaltă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parte,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denumite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continuare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"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Părţile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"),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având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vedere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Beneficiarul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convenit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conform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raportului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procedurii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atribuire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contractului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achiziţie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publică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nr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……………………… , ca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cunoscute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sub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numele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de: </w:t>
      </w:r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„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Pietonizare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și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trafic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controlat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zona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centrală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inclusiv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amenajare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piste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pentru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biciclete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traseele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prioritare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din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Planul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Mobilitate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puncte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bike-sharing,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amenajare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zone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verzi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zone de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odihnă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zonă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spectacole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zonă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comerț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pentru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evenimente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iluminat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ornamental,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wi-fi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inclusiv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dotări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și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echipamente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– </w:t>
      </w:r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Componenta </w:t>
      </w:r>
      <w:proofErr w:type="spellStart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>Regenerare</w:t>
      </w:r>
      <w:proofErr w:type="spellEnd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>urbană</w:t>
      </w:r>
      <w:proofErr w:type="spellEnd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SMIS 341965 </w:t>
      </w: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denumite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continuare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"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"</w:t>
      </w:r>
      <w:r w:rsidR="00BE7676">
        <w:rPr>
          <w:rFonts w:ascii="Open Sans" w:eastAsia="Times New Roman" w:hAnsi="Open Sans" w:cs="Times New Roman"/>
          <w:color w:val="333333"/>
          <w:sz w:val="24"/>
          <w:szCs w:val="24"/>
        </w:rPr>
        <w:t>)</w:t>
      </w: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fie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executate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acceptat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oferta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vederea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executării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finalizării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Lucrărilor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remedierii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oricăror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eventuale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defecţiuni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ale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Lucrărilor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Părţile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convin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după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cum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urmează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:</w:t>
      </w:r>
    </w:p>
    <w:p w:rsidR="007A1DF8" w:rsidRPr="007A1DF8" w:rsidRDefault="007A1DF8" w:rsidP="002F50D2">
      <w:pPr>
        <w:shd w:val="clear" w:color="auto" w:fill="FFFFFF"/>
        <w:spacing w:after="72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1.în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prezentul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Acord Contractual,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termenii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expresiile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avea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acelaşi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înţeles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Condiţiile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Contract la care se face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referire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continuare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.</w:t>
      </w:r>
    </w:p>
    <w:p w:rsidR="007A1DF8" w:rsidRPr="00BE7676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Cs/>
          <w:color w:val="333333"/>
          <w:sz w:val="24"/>
          <w:szCs w:val="24"/>
        </w:rPr>
      </w:pPr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2.Contractul are un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caracter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de contract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administrativ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şi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include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prezentul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Acord Contractual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împreună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cu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orice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Act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Adiţional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şi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următoarele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anexe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:</w:t>
      </w:r>
    </w:p>
    <w:p w:rsidR="007A1DF8" w:rsidRPr="007A1DF8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(a)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Formularul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Ofertă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completat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după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caz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corectat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7A1DF8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(b)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Condiţiile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Specifice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7A1DF8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(c)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Condiţiile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Generale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7A1DF8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lastRenderedPageBreak/>
        <w:t>(d)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Specificaţiile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7A1DF8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(e)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Piesele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Desenate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7A1DF8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(f)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Lista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Cantităţi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documentele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aferente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</w:t>
      </w:r>
    </w:p>
    <w:p w:rsidR="007A1DF8" w:rsidRPr="00BE7676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Cs/>
          <w:color w:val="333333"/>
          <w:sz w:val="24"/>
          <w:szCs w:val="24"/>
        </w:rPr>
      </w:pPr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(g)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Oferta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Antreprenorului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şi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orice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alte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documente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care </w:t>
      </w:r>
      <w:proofErr w:type="spellStart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>fac</w:t>
      </w:r>
      <w:proofErr w:type="spellEnd"/>
      <w:r w:rsidRPr="00BE7676">
        <w:rPr>
          <w:rFonts w:ascii="Open Sans" w:eastAsia="Times New Roman" w:hAnsi="Open Sans" w:cs="Times New Roman"/>
          <w:bCs/>
          <w:color w:val="333333"/>
          <w:sz w:val="24"/>
          <w:szCs w:val="24"/>
        </w:rPr>
        <w:t xml:space="preserve"> parte din Contract: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1.Oferta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financiară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după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corecţiile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aritmetice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),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2.Oferta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tehnică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inclusiv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clarificările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din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perioada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evaluare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ofertelor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),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3.angajamentul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ferm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al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fiecărui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terţ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susţinător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dacă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este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cazul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),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4.acordul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asociere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cazul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care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constituie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o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asociere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un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consorţiu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sau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o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altă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grupare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două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sau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mai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multe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persoane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),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5.subcontractul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încheiat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fiecare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Subcontractant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dacă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este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cazul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),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6.orice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alte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documente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care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fac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parte din Contract [se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specifica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].</w:t>
      </w:r>
    </w:p>
    <w:p w:rsidR="007A1DF8" w:rsidRPr="007A1DF8" w:rsidRDefault="007A1DF8" w:rsidP="002F50D2">
      <w:pPr>
        <w:shd w:val="clear" w:color="auto" w:fill="FFFFFF"/>
        <w:spacing w:after="72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3.Ţinând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seama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plăţile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urmează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 fi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efectuate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Beneficiar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către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după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cum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este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menţionat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continuare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.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convine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Beneficiarul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execute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finalizeze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cunoscute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sub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numele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„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Pietonizare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și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trafic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controlat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zona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centrală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inclusiv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amenajare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piste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pentru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biciclete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traseele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prioritare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din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Planul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Mobilitate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puncte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bike-sharing,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amenajare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zone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verzi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zone de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odihnă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zonă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spectacole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zonă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comerț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pentru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evenimente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iluminat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ornamental,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wi-fi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inclusiv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dotări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și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>echipamente</w:t>
      </w:r>
      <w:proofErr w:type="spellEnd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– </w:t>
      </w:r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Componenta </w:t>
      </w:r>
      <w:proofErr w:type="spellStart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>Regenerare</w:t>
      </w:r>
      <w:proofErr w:type="spellEnd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>urbană</w:t>
      </w:r>
      <w:proofErr w:type="spellEnd"/>
      <w:r w:rsidR="00BE1796" w:rsidRPr="00BE1796">
        <w:rPr>
          <w:rFonts w:ascii="Open Sans" w:eastAsia="Times New Roman" w:hAnsi="Open Sans" w:cs="Times New Roman"/>
          <w:color w:val="333333"/>
          <w:sz w:val="24"/>
          <w:szCs w:val="24"/>
        </w:rPr>
        <w:t>, SMIS 341965</w:t>
      </w:r>
      <w:bookmarkStart w:id="0" w:name="_GoBack"/>
      <w:bookmarkEnd w:id="0"/>
      <w:r w:rsidR="00BE7676" w:rsidRPr="00BE767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remedieze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orice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eventuale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defecţiuni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ale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acestor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Perioada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Garanţie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conformitate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prevederile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Contractului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.</w:t>
      </w:r>
    </w:p>
    <w:p w:rsidR="007A1DF8" w:rsidRPr="007A1DF8" w:rsidRDefault="007A1DF8" w:rsidP="002F50D2">
      <w:pPr>
        <w:shd w:val="clear" w:color="auto" w:fill="FFFFFF"/>
        <w:spacing w:after="72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gram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4.Beneficiarul</w:t>
      </w:r>
      <w:proofErr w:type="gram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convine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plătească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pentru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execuţia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finalizarea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Lucrărilor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remedierea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oricăror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eventuale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defecţiuni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ale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Lucrărilor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suma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de :………………………… Lei,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exclusiv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TVA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litere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:………………………. ),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reprezentând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Preţul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Contractului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la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termenele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conform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modalităţilor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stipulate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Contract La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această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sumă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se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adăuga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taxa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valoare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adăugată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conformitate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prevederile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legale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vigoare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.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Modificarea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Preţului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Contractului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se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va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realiza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conformitate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cu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prevederile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legale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.</w:t>
      </w:r>
    </w:p>
    <w:p w:rsidR="007A1DF8" w:rsidRPr="007A1DF8" w:rsidRDefault="007A1DF8" w:rsidP="002F50D2">
      <w:pPr>
        <w:shd w:val="clear" w:color="auto" w:fill="FFFFFF"/>
        <w:spacing w:after="72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5.Celelalte date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contractuale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la care se face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Condiţiile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Contractuale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ca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fiind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prevăzute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Acordul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Contractual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sunt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următoarele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:</w:t>
      </w:r>
    </w:p>
    <w:tbl>
      <w:tblPr>
        <w:tblW w:w="93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3195"/>
        <w:gridCol w:w="4112"/>
      </w:tblGrid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Referinţă</w:t>
            </w:r>
            <w:proofErr w:type="spellEnd"/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Element</w:t>
            </w:r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Date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contractuale</w:t>
            </w:r>
            <w:proofErr w:type="spellEnd"/>
          </w:p>
        </w:tc>
      </w:tr>
      <w:tr w:rsidR="007A1DF8" w:rsidRPr="007A1DF8" w:rsidTr="002F50D2">
        <w:tc>
          <w:tcPr>
            <w:tcW w:w="2801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1 -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Definiţii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tabs>
                <w:tab w:val="left" w:pos="32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Antreprenorului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completa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momentul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semnării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Acordului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Contractual)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Beneficiarului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reprezentantului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Beneficiarului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F50D2" w:rsidRPr="002F50D2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50D2">
              <w:rPr>
                <w:rFonts w:ascii="Times New Roman" w:eastAsia="Times New Roman" w:hAnsi="Times New Roman" w:cs="Times New Roman"/>
              </w:rPr>
              <w:t>MUNICIPIUL PLOIESTI, JUDETUL PRAHOVA.</w:t>
            </w:r>
          </w:p>
          <w:p w:rsidR="002F50D2" w:rsidRPr="002F50D2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50D2">
              <w:rPr>
                <w:rFonts w:ascii="Times New Roman" w:eastAsia="Times New Roman" w:hAnsi="Times New Roman" w:cs="Times New Roman"/>
              </w:rPr>
              <w:t xml:space="preserve">Cod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înregistrare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fiscala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: 2844855;</w:t>
            </w:r>
          </w:p>
          <w:p w:rsidR="002F50D2" w:rsidRPr="002F50D2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: Str.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Piața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Eroilor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. 1 A,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Ploiești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, Prahova, Romania;</w:t>
            </w:r>
          </w:p>
          <w:p w:rsidR="002F50D2" w:rsidRPr="002F50D2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50D2">
              <w:rPr>
                <w:rFonts w:ascii="Times New Roman" w:eastAsia="Times New Roman" w:hAnsi="Times New Roman" w:cs="Times New Roman"/>
              </w:rPr>
              <w:t>Cod postal: 100316;</w:t>
            </w:r>
          </w:p>
          <w:p w:rsidR="002F50D2" w:rsidRPr="002F50D2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: 0244 516699;</w:t>
            </w:r>
          </w:p>
          <w:p w:rsidR="002F50D2" w:rsidRPr="002F50D2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50D2">
              <w:rPr>
                <w:rFonts w:ascii="Times New Roman" w:eastAsia="Times New Roman" w:hAnsi="Times New Roman" w:cs="Times New Roman"/>
              </w:rPr>
              <w:t>Fax: 0244 513829;</w:t>
            </w:r>
          </w:p>
          <w:p w:rsidR="007A1DF8" w:rsidRPr="007A1DF8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lastRenderedPageBreak/>
              <w:t>Reprezentant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Legal: Mihai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Laurenţiu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Poliţeanu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Primar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Municipiului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Ploiești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lastRenderedPageBreak/>
              <w:t>q)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Durata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durata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execuției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lucrărilor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maxim </w:t>
            </w:r>
            <w:r w:rsidRPr="002F50D2">
              <w:rPr>
                <w:rFonts w:ascii="Times New Roman" w:eastAsia="Times New Roman" w:hAnsi="Times New Roman" w:cs="Times New Roman"/>
                <w:b/>
              </w:rPr>
              <w:t xml:space="preserve">18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  <w:b/>
              </w:rPr>
              <w:t>luni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la data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notificată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Ordinul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începere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lucrărilor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execuție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vv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Sector</w:t>
            </w:r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2F50D2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50D2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stabili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sectoarele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avizarea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programului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control al   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calității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lucrărilor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bbb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Supervizorului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62F40" w:rsidP="00762F4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F40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notifica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termen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10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semnarea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execuție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condiționat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încheierea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servicii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supervizare</w:t>
            </w:r>
            <w:proofErr w:type="spellEnd"/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2 -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Limba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Limba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limba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română</w:t>
            </w:r>
            <w:proofErr w:type="spellEnd"/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15 -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Garanţie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Bună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15.1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Garanţiei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Bună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10%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Preţul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TVA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15.6 a)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Garanţiei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Bună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restituită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aprobarea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Recepţiei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Terminarea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Lucrărilor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70%</w:t>
            </w:r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16 -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Responsabilităţi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asigurări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16.2 b) 1.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limite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acoperire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asigurării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daune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aduse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terţilor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F50D2" w:rsidRPr="002F50D2" w:rsidRDefault="002F50D2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Antreprenorul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obligația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a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încheia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înainte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lucrărilor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o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asigurare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r w:rsidR="00762F40">
              <w:rPr>
                <w:rFonts w:ascii="Times New Roman" w:eastAsia="Times New Roman" w:hAnsi="Times New Roman" w:cs="Times New Roman"/>
              </w:rPr>
              <w:t xml:space="preserve">de </w:t>
            </w:r>
            <w:proofErr w:type="spellStart"/>
            <w:r w:rsidR="00762F40">
              <w:rPr>
                <w:rFonts w:ascii="Times New Roman" w:eastAsia="Times New Roman" w:hAnsi="Times New Roman" w:cs="Times New Roman"/>
              </w:rPr>
              <w:t>raspundere</w:t>
            </w:r>
            <w:proofErr w:type="spellEnd"/>
            <w:r w:rsid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2F40">
              <w:rPr>
                <w:rFonts w:ascii="Times New Roman" w:eastAsia="Times New Roman" w:hAnsi="Times New Roman" w:cs="Times New Roman"/>
              </w:rPr>
              <w:t>civila</w:t>
            </w:r>
            <w:proofErr w:type="spellEnd"/>
            <w:r w:rsid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cuprinde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toate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riscurile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putea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apărea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lucrările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executate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utilajele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instalațiile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lucru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echipamentele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materialele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stoc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propriu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reprezentanții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împuterniciți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verifice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testeze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recepționeze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lucrările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precum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daunele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prejudiciile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aduse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către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terțe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persoane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juridice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.</w:t>
            </w:r>
          </w:p>
          <w:p w:rsidR="002F50D2" w:rsidRPr="002F50D2" w:rsidRDefault="002F50D2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Asigurarea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încheia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cu un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asigurator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autorizat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ASF.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Contravaloarea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primelor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asigurare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fi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suportată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către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Antreprenor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nu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poate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fi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decontată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proofErr w:type="gramStart"/>
            <w:r w:rsidRPr="002F50D2">
              <w:rPr>
                <w:rFonts w:ascii="Times New Roman" w:eastAsia="Times New Roman" w:hAnsi="Times New Roman" w:cs="Times New Roman"/>
              </w:rPr>
              <w:t>capitolul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”</w:t>
            </w:r>
            <w:proofErr w:type="spellStart"/>
            <w:proofErr w:type="gramEnd"/>
            <w:r w:rsidRPr="002F50D2">
              <w:rPr>
                <w:rFonts w:ascii="Times New Roman" w:eastAsia="Times New Roman" w:hAnsi="Times New Roman" w:cs="Times New Roman"/>
              </w:rPr>
              <w:t>Cheltuieli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directe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”.</w:t>
            </w:r>
          </w:p>
          <w:p w:rsidR="002F50D2" w:rsidRPr="002F50D2" w:rsidRDefault="002F50D2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asigurată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trebuie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cel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puțin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polița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fiind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cesionată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favoarea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Beneficiarului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.</w:t>
            </w:r>
          </w:p>
          <w:p w:rsidR="007A1DF8" w:rsidRPr="007A1DF8" w:rsidRDefault="002F50D2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Antreprenorul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obligația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a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prezenta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Beneficiarului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ori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câte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ori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cere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dovada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valabilității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poliței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polițelor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2F50D2">
              <w:rPr>
                <w:rFonts w:ascii="Times New Roman" w:eastAsia="Times New Roman" w:hAnsi="Times New Roman" w:cs="Times New Roman"/>
              </w:rPr>
              <w:t>asigurare</w:t>
            </w:r>
            <w:proofErr w:type="spellEnd"/>
            <w:r w:rsidRPr="002F50D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lastRenderedPageBreak/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17 -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Programul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17.6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reţinută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întârzierea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transmiterii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Programului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4000 lei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="002F50D2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2F50D2">
              <w:rPr>
                <w:rFonts w:ascii="Times New Roman" w:eastAsia="Times New Roman" w:hAnsi="Times New Roman" w:cs="Times New Roman"/>
              </w:rPr>
              <w:t>intarziere</w:t>
            </w:r>
            <w:proofErr w:type="spellEnd"/>
          </w:p>
        </w:tc>
      </w:tr>
      <w:tr w:rsidR="007A1DF8" w:rsidRPr="007A1DF8" w:rsidTr="002F50D2">
        <w:tc>
          <w:tcPr>
            <w:tcW w:w="2801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36 -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întârzieri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36.3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reţinută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Certificat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Plată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dacă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Antreprenorul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nu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reuşeşte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atingă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punct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referinţă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termenul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stabilit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10%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totalul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aferente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punctelor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(a)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(b)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subclauza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(50.1) [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Situaţia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Lucrări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>]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36-4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penalităţilor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întârziere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fiecare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întârziere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Preţul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semnarea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împărţit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Durata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semnarea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exprimată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</w:tr>
      <w:tr w:rsidR="007A1DF8" w:rsidRPr="007A1DF8" w:rsidTr="002F50D2">
        <w:tc>
          <w:tcPr>
            <w:tcW w:w="2801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46 - Plata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avans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46.1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efectuarea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plăţi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avans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6072A1" w:rsidRDefault="006072A1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072A1">
              <w:rPr>
                <w:rFonts w:ascii="Times New Roman" w:eastAsia="Times New Roman" w:hAnsi="Times New Roman" w:cs="Times New Roman"/>
              </w:rPr>
              <w:t>nu</w:t>
            </w:r>
            <w:proofErr w:type="gramEnd"/>
            <w:r w:rsidR="00762F40" w:rsidRPr="006072A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46.6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fiecărei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tranşe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plăţile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avans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6072A1" w:rsidRDefault="006072A1" w:rsidP="00762F4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46.6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tranşe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6072A1" w:rsidRDefault="006072A1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46.6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tranşelor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6072A1" w:rsidRDefault="006072A1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46.7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sumele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reprezentând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plăţi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avans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pot fi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justificate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lucrări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executate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până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termenul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stabilit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62F40" w:rsidRPr="006072A1" w:rsidRDefault="006072A1" w:rsidP="00762F4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  <w:p w:rsidR="007A1DF8" w:rsidRPr="006072A1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46.7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fiecărei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tranşe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plăţile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avans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6072A1" w:rsidRDefault="006072A1" w:rsidP="00762F4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46.7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tranşe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6072A1" w:rsidRDefault="006072A1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46.7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tranşelor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6072A1" w:rsidRDefault="006072A1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46.7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deducerilor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procentuale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Certificatele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Plată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6072A1" w:rsidRDefault="006072A1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72A1">
              <w:rPr>
                <w:rFonts w:ascii="Times New Roman" w:eastAsia="Times New Roman" w:hAnsi="Times New Roman" w:cs="Times New Roman"/>
              </w:rPr>
              <w:t xml:space="preserve">Nu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072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72A1"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</w:p>
        </w:tc>
      </w:tr>
      <w:tr w:rsidR="007A1DF8" w:rsidRPr="007A1DF8" w:rsidTr="002F50D2">
        <w:tc>
          <w:tcPr>
            <w:tcW w:w="2801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47 -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Reţinute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762F40">
        <w:trPr>
          <w:trHeight w:val="458"/>
        </w:trPr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47.1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procentuală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Reţinute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din Certificate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Plată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10%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totalul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aferente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punctelor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(a)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(b)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subclauza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(50.1) [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Situaţia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Lucrări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>]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lastRenderedPageBreak/>
              <w:t>47.1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limita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Reţinute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 xml:space="preserve">5% din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Preţul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semnarea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48 -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Ajustarea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preţurilor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48.1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formule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ajustare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preţurilor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atunci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când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Durata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semnarea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mică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egală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cu 365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nu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48.3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formule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ajustare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preţurilor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atunci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când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Durata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Execuţie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semnarea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mare de 365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da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48.4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tabelul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ajustare</w:t>
            </w:r>
            <w:proofErr w:type="spellEnd"/>
          </w:p>
          <w:p w:rsidR="00762F40" w:rsidRPr="00762F40" w:rsidRDefault="00762F40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Contractul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fi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ajustat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următoarea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metodă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>:</w:t>
            </w:r>
          </w:p>
          <w:p w:rsidR="00762F40" w:rsidRPr="00762F40" w:rsidRDefault="00762F40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F40">
              <w:rPr>
                <w:rFonts w:ascii="Times New Roman" w:eastAsia="Times New Roman" w:hAnsi="Times New Roman" w:cs="Times New Roman"/>
              </w:rPr>
              <w:t xml:space="preserve">An =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av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+ (1 -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av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) * In/Io,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unde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>:</w:t>
            </w:r>
          </w:p>
          <w:p w:rsidR="00762F40" w:rsidRPr="00762F40" w:rsidRDefault="00762F40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F40">
              <w:rPr>
                <w:rFonts w:ascii="Times New Roman" w:eastAsia="Times New Roman" w:hAnsi="Times New Roman" w:cs="Times New Roman"/>
              </w:rPr>
              <w:t>-</w:t>
            </w:r>
            <w:r w:rsidRPr="00762F40">
              <w:rPr>
                <w:rFonts w:ascii="Times New Roman" w:eastAsia="Times New Roman" w:hAnsi="Times New Roman" w:cs="Times New Roman"/>
              </w:rPr>
              <w:tab/>
              <w:t xml:space="preserve">"An"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coeficientul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ajustare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urmează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a fi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aplicat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valorii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contract estimate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lucrările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realizate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"n";</w:t>
            </w:r>
          </w:p>
          <w:p w:rsidR="00762F40" w:rsidRPr="00762F40" w:rsidRDefault="00762F40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F40">
              <w:rPr>
                <w:rFonts w:ascii="Times New Roman" w:eastAsia="Times New Roman" w:hAnsi="Times New Roman" w:cs="Times New Roman"/>
              </w:rPr>
              <w:t>-</w:t>
            </w:r>
            <w:r w:rsidRPr="00762F40">
              <w:rPr>
                <w:rFonts w:ascii="Times New Roman" w:eastAsia="Times New Roman" w:hAnsi="Times New Roman" w:cs="Times New Roman"/>
              </w:rPr>
              <w:tab/>
              <w:t>"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av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procentuală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plăţii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avans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faţă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Preţul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>;</w:t>
            </w:r>
          </w:p>
          <w:p w:rsidR="00762F40" w:rsidRPr="00762F40" w:rsidRDefault="00762F40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F40">
              <w:rPr>
                <w:rFonts w:ascii="Times New Roman" w:eastAsia="Times New Roman" w:hAnsi="Times New Roman" w:cs="Times New Roman"/>
              </w:rPr>
              <w:t>-</w:t>
            </w:r>
            <w:r w:rsidRPr="00762F40">
              <w:rPr>
                <w:rFonts w:ascii="Times New Roman" w:eastAsia="Times New Roman" w:hAnsi="Times New Roman" w:cs="Times New Roman"/>
              </w:rPr>
              <w:tab/>
              <w:t xml:space="preserve">"In"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indicele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cost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construcţii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- total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publicat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Institutul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Naţional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Statistică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Buletinul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Statistic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Preţuri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tabelul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15,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aplicabil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la data cu 60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înainte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ultima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"n".</w:t>
            </w:r>
          </w:p>
          <w:p w:rsidR="00762F40" w:rsidRPr="007A1DF8" w:rsidRDefault="00762F40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F40">
              <w:rPr>
                <w:rFonts w:ascii="Times New Roman" w:eastAsia="Times New Roman" w:hAnsi="Times New Roman" w:cs="Times New Roman"/>
              </w:rPr>
              <w:t xml:space="preserve">"Io"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indicele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de cost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construcţii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- total,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aplicabil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la Data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Referinţă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>.”</w:t>
            </w:r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49 -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Măsurare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evaluări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Provizionate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49.3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sumă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cheltuielile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indirecte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profit</w:t>
            </w:r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F40">
              <w:rPr>
                <w:rFonts w:ascii="Times New Roman" w:eastAsia="Times New Roman" w:hAnsi="Times New Roman" w:cs="Times New Roman"/>
              </w:rPr>
              <w:t xml:space="preserve">5% din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sumele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reale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plătite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trebuie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plătite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) de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către</w:t>
            </w:r>
            <w:proofErr w:type="spellEnd"/>
            <w:r w:rsidRPr="00762F4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F40">
              <w:rPr>
                <w:rFonts w:ascii="Times New Roman" w:eastAsia="Times New Roman" w:hAnsi="Times New Roman" w:cs="Times New Roman"/>
              </w:rPr>
              <w:t>Antreprenor</w:t>
            </w:r>
            <w:proofErr w:type="spellEnd"/>
          </w:p>
        </w:tc>
      </w:tr>
      <w:tr w:rsidR="007A1DF8" w:rsidRPr="007A1DF8" w:rsidTr="002F50D2">
        <w:tc>
          <w:tcPr>
            <w:tcW w:w="2801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50 -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Plăţi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50.2 a)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lista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Echipamentelor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Materialelor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plată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aducerea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lastRenderedPageBreak/>
              <w:t>Şantier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alt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loc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aprobat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Supervizor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DF8" w:rsidRPr="007A1DF8" w:rsidTr="00762F40">
        <w:trPr>
          <w:trHeight w:val="2274"/>
        </w:trPr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50.3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obligaţii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neîndeplinite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nerespectate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înlocuirea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personalului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cheie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Antreprenorului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respectarea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prevederilor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subclauzelor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14.3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14.4; 10.000 lei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eveniment</w:t>
            </w:r>
            <w:proofErr w:type="spellEnd"/>
          </w:p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nerespectarea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prevederilor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subclauzei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27.2; 5.000 lei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</w:p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nerespectarea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prevederilor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subclauzei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27.3; 20.000 lei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</w:p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nerespectarea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prevederilor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subclauzei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30.1: 5.000 lei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61 -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Garanţie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61.6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durata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Perioadei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Garanţie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F50D2" w:rsidRDefault="002F50D2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</w:t>
            </w:r>
            <w:r w:rsidR="007A1DF8"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1DF8" w:rsidRPr="007A1DF8">
              <w:rPr>
                <w:rFonts w:ascii="Times New Roman" w:eastAsia="Times New Roman" w:hAnsi="Times New Roman" w:cs="Times New Roman"/>
              </w:rPr>
              <w:t>ani</w:t>
            </w:r>
            <w:proofErr w:type="spellEnd"/>
            <w:r w:rsidR="007A1DF8" w:rsidRPr="007A1D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1DF8" w:rsidRPr="007A1DF8" w:rsidRDefault="002F50D2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completa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ofertei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tehnice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Antreprenorului</w:t>
            </w:r>
            <w:proofErr w:type="spellEnd"/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70 - Dispute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arbitraj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70.4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arbitri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70.5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locul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arbitrajului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Bucureşti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70.5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limba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arbitrajului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76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Limba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română</w:t>
            </w:r>
            <w:proofErr w:type="spellEnd"/>
          </w:p>
        </w:tc>
      </w:tr>
      <w:tr w:rsidR="007A1DF8" w:rsidRPr="007A1DF8" w:rsidTr="00BE7676">
        <w:tc>
          <w:tcPr>
            <w:tcW w:w="50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Clauza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71 -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</w:p>
        </w:tc>
      </w:tr>
      <w:tr w:rsidR="007A1DF8" w:rsidRPr="007A1DF8" w:rsidTr="002F50D2">
        <w:tc>
          <w:tcPr>
            <w:tcW w:w="1092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DF8">
              <w:rPr>
                <w:rFonts w:ascii="Times New Roman" w:eastAsia="Times New Roman" w:hAnsi="Times New Roman" w:cs="Times New Roman"/>
              </w:rPr>
              <w:t>71.1</w:t>
            </w:r>
          </w:p>
        </w:tc>
        <w:tc>
          <w:tcPr>
            <w:tcW w:w="170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guvernează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Contractul</w:t>
            </w:r>
            <w:proofErr w:type="spellEnd"/>
          </w:p>
        </w:tc>
        <w:tc>
          <w:tcPr>
            <w:tcW w:w="219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română</w:t>
            </w:r>
            <w:proofErr w:type="spellEnd"/>
          </w:p>
        </w:tc>
      </w:tr>
    </w:tbl>
    <w:p w:rsidR="007A1DF8" w:rsidRPr="007A1DF8" w:rsidRDefault="007A1DF8" w:rsidP="002F50D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</w:pPr>
      <w:proofErr w:type="gram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6.Prezentul</w:t>
      </w:r>
      <w:proofErr w:type="gram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Acord Contractual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îşi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produce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efectele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începând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cu data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semnării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sale de </w:t>
      </w:r>
      <w:proofErr w:type="spellStart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>către</w:t>
      </w:r>
      <w:proofErr w:type="spellEnd"/>
      <w:r w:rsidRPr="007A1DF8">
        <w:rPr>
          <w:rFonts w:ascii="Open Sans" w:eastAsia="Times New Roman" w:hAnsi="Open Sans" w:cs="Times New Roman"/>
          <w:b/>
          <w:bCs/>
          <w:color w:val="333333"/>
          <w:sz w:val="24"/>
          <w:szCs w:val="24"/>
        </w:rPr>
        <w:t xml:space="preserve"> ultima parte.</w:t>
      </w:r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Redactat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limba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[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română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]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în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3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trei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)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exemplare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originale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, din care 2 (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două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)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exemplare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originale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pentru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Beneficiar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şi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1 (un) exemplar original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pentru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Antreprenor</w:t>
      </w:r>
      <w:proofErr w:type="spellEnd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.</w:t>
      </w: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4537"/>
      </w:tblGrid>
      <w:tr w:rsidR="007A1DF8" w:rsidRPr="007A1DF8" w:rsidTr="00BE7676">
        <w:trPr>
          <w:jc w:val="center"/>
        </w:trPr>
        <w:tc>
          <w:tcPr>
            <w:tcW w:w="267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Beneficiar</w:t>
            </w:r>
            <w:proofErr w:type="spellEnd"/>
          </w:p>
        </w:tc>
        <w:tc>
          <w:tcPr>
            <w:tcW w:w="2321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1DF8" w:rsidRPr="007A1DF8" w:rsidRDefault="007A1DF8" w:rsidP="002F50D2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A1D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1DF8">
              <w:rPr>
                <w:rFonts w:ascii="Times New Roman" w:eastAsia="Times New Roman" w:hAnsi="Times New Roman" w:cs="Times New Roman"/>
              </w:rPr>
              <w:t>Antreprenor</w:t>
            </w:r>
            <w:proofErr w:type="spellEnd"/>
          </w:p>
        </w:tc>
      </w:tr>
    </w:tbl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Nume</w:t>
      </w:r>
      <w:proofErr w:type="spellEnd"/>
    </w:p>
    <w:p w:rsidR="007A1DF8" w:rsidRPr="007A1DF8" w:rsidRDefault="007A1DF8" w:rsidP="002F50D2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</w:rPr>
      </w:pPr>
      <w:proofErr w:type="spellStart"/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Semnătura</w:t>
      </w:r>
      <w:proofErr w:type="spellEnd"/>
    </w:p>
    <w:p w:rsidR="007A1DF8" w:rsidRDefault="007A1DF8" w:rsidP="002F50D2">
      <w:pPr>
        <w:shd w:val="clear" w:color="auto" w:fill="FFFFFF"/>
        <w:spacing w:line="240" w:lineRule="auto"/>
        <w:jc w:val="both"/>
      </w:pPr>
      <w:r w:rsidRPr="007A1DF8">
        <w:rPr>
          <w:rFonts w:ascii="Open Sans" w:eastAsia="Times New Roman" w:hAnsi="Open Sans" w:cs="Times New Roman"/>
          <w:color w:val="333333"/>
          <w:sz w:val="24"/>
          <w:szCs w:val="24"/>
        </w:rPr>
        <w:t>Data</w:t>
      </w:r>
    </w:p>
    <w:sectPr w:rsidR="007A1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F8"/>
    <w:rsid w:val="002F50D2"/>
    <w:rsid w:val="003246E9"/>
    <w:rsid w:val="006072A1"/>
    <w:rsid w:val="00762F40"/>
    <w:rsid w:val="007A1DF8"/>
    <w:rsid w:val="00BE1796"/>
    <w:rsid w:val="00BE7676"/>
    <w:rsid w:val="00FA178A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7F2FF-81D2-42F1-855C-292B4320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b">
    <w:name w:val="a_lb"/>
    <w:basedOn w:val="Fontdeparagrafimplicit"/>
    <w:rsid w:val="007A1DF8"/>
  </w:style>
  <w:style w:type="character" w:customStyle="1" w:styleId="atl">
    <w:name w:val="a_tl"/>
    <w:basedOn w:val="Fontdeparagrafimplicit"/>
    <w:rsid w:val="007A1DF8"/>
  </w:style>
  <w:style w:type="paragraph" w:styleId="NormalWeb">
    <w:name w:val="Normal (Web)"/>
    <w:basedOn w:val="Normal"/>
    <w:uiPriority w:val="99"/>
    <w:semiHidden/>
    <w:unhideWhenUsed/>
    <w:rsid w:val="007A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2F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9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6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3061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75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743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251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75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935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208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704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456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8117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0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14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1213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7369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95987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45664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2150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85997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95548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91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877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275">
                              <w:marLeft w:val="0"/>
                              <w:marRight w:val="0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14801">
                              <w:marLeft w:val="0"/>
                              <w:marRight w:val="0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4777">
                              <w:marLeft w:val="0"/>
                              <w:marRight w:val="0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7520">
                              <w:marLeft w:val="0"/>
                              <w:marRight w:val="0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26254">
                              <w:marLeft w:val="0"/>
                              <w:marRight w:val="0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32174">
                              <w:marLeft w:val="0"/>
                              <w:marRight w:val="0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75926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69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224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70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44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618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2209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176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2168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9811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519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32275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5058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Radulescu Iuliana</dc:creator>
  <cp:keywords/>
  <dc:description/>
  <cp:lastModifiedBy>Radulescu Iuliana</cp:lastModifiedBy>
  <cp:revision>2</cp:revision>
  <dcterms:created xsi:type="dcterms:W3CDTF">2026-02-09T06:21:00Z</dcterms:created>
  <dcterms:modified xsi:type="dcterms:W3CDTF">2026-02-09T06:21:00Z</dcterms:modified>
</cp:coreProperties>
</file>